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325B" w:rsidRPr="001B3AE9" w:rsidRDefault="00B53484" w:rsidP="00D16143">
      <w:pPr>
        <w:jc w:val="center"/>
        <w:rPr>
          <w:rFonts w:ascii="Times New Roman" w:hAnsi="Times New Roman"/>
          <w:sz w:val="24"/>
        </w:rPr>
      </w:pPr>
      <w:r w:rsidRPr="001B3AE9">
        <w:rPr>
          <w:rFonts w:ascii="Times New Roman" w:hAnsi="Times New Roman"/>
          <w:sz w:val="24"/>
        </w:rPr>
        <w:t>September 2</w:t>
      </w:r>
      <w:r w:rsidR="002B2F58" w:rsidRPr="001B3AE9">
        <w:rPr>
          <w:rFonts w:ascii="Times New Roman" w:hAnsi="Times New Roman"/>
          <w:sz w:val="24"/>
        </w:rPr>
        <w:t>,</w:t>
      </w:r>
      <w:r w:rsidR="00B802E2" w:rsidRPr="001B3AE9">
        <w:rPr>
          <w:rFonts w:ascii="Times New Roman" w:hAnsi="Times New Roman"/>
          <w:sz w:val="24"/>
        </w:rPr>
        <w:t xml:space="preserve"> 2020</w:t>
      </w:r>
    </w:p>
    <w:p w:rsidR="00B802E2" w:rsidRPr="001B3AE9" w:rsidRDefault="00B802E2" w:rsidP="0012324F">
      <w:pPr>
        <w:rPr>
          <w:rFonts w:ascii="Times New Roman" w:hAnsi="Times New Roman"/>
          <w:sz w:val="24"/>
        </w:rPr>
      </w:pPr>
    </w:p>
    <w:p w:rsidR="00B53484" w:rsidRPr="00917945" w:rsidRDefault="00B802E2" w:rsidP="00917945">
      <w:pPr>
        <w:pStyle w:val="Header"/>
        <w:tabs>
          <w:tab w:val="left" w:pos="720"/>
        </w:tabs>
        <w:jc w:val="both"/>
        <w:rPr>
          <w:rFonts w:ascii="Times New Roman" w:hAnsi="Times New Roman"/>
          <w:b/>
          <w:sz w:val="24"/>
        </w:rPr>
      </w:pPr>
      <w:r w:rsidRPr="001B3AE9">
        <w:rPr>
          <w:rFonts w:ascii="Times New Roman" w:hAnsi="Times New Roman"/>
          <w:b/>
          <w:sz w:val="24"/>
        </w:rPr>
        <w:t xml:space="preserve">MEMORANDUM FOR DIVISION OF SENIOR &amp; DISABILITY SERVICES </w:t>
      </w:r>
      <w:r w:rsidR="00D16143" w:rsidRPr="001B3AE9">
        <w:rPr>
          <w:rFonts w:ascii="Times New Roman" w:hAnsi="Times New Roman"/>
          <w:b/>
          <w:sz w:val="24"/>
        </w:rPr>
        <w:t xml:space="preserve">SECTION FOR </w:t>
      </w:r>
      <w:r w:rsidRPr="001B3AE9">
        <w:rPr>
          <w:rFonts w:ascii="Times New Roman" w:hAnsi="Times New Roman"/>
          <w:b/>
          <w:sz w:val="24"/>
        </w:rPr>
        <w:t xml:space="preserve">ADULT PROTECTIVE SERVICES </w:t>
      </w:r>
      <w:r w:rsidR="00D16143" w:rsidRPr="001B3AE9">
        <w:rPr>
          <w:rFonts w:ascii="Times New Roman" w:hAnsi="Times New Roman"/>
          <w:b/>
          <w:sz w:val="24"/>
        </w:rPr>
        <w:t>STAFF</w:t>
      </w:r>
    </w:p>
    <w:p w:rsidR="00B802E2" w:rsidRPr="001B3AE9" w:rsidRDefault="00B802E2" w:rsidP="00B802E2">
      <w:pPr>
        <w:pStyle w:val="Header"/>
        <w:tabs>
          <w:tab w:val="left" w:pos="1080"/>
        </w:tabs>
        <w:jc w:val="both"/>
        <w:rPr>
          <w:rFonts w:ascii="Times New Roman" w:hAnsi="Times New Roman"/>
          <w:sz w:val="24"/>
        </w:rPr>
      </w:pPr>
      <w:r w:rsidRPr="001B3AE9">
        <w:rPr>
          <w:rFonts w:ascii="Times New Roman" w:hAnsi="Times New Roman"/>
          <w:sz w:val="24"/>
        </w:rPr>
        <w:t>From:</w:t>
      </w:r>
      <w:r w:rsidRPr="001B3AE9">
        <w:rPr>
          <w:rFonts w:ascii="Times New Roman" w:hAnsi="Times New Roman"/>
          <w:sz w:val="24"/>
        </w:rPr>
        <w:tab/>
        <w:t xml:space="preserve">Kathryn Sharp Sapp, Bureau Chief </w:t>
      </w:r>
      <w:r w:rsidR="00917945" w:rsidRPr="00162EC7">
        <w:rPr>
          <w:noProof/>
        </w:rPr>
        <w:drawing>
          <wp:inline distT="0" distB="0" distL="0" distR="0" wp14:anchorId="0E06CDD3" wp14:editId="3612C4AF">
            <wp:extent cx="1287780" cy="38862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87780" cy="388620"/>
                    </a:xfrm>
                    <a:prstGeom prst="rect">
                      <a:avLst/>
                    </a:prstGeom>
                    <a:noFill/>
                    <a:ln>
                      <a:noFill/>
                    </a:ln>
                  </pic:spPr>
                </pic:pic>
              </a:graphicData>
            </a:graphic>
          </wp:inline>
        </w:drawing>
      </w:r>
    </w:p>
    <w:p w:rsidR="00B802E2" w:rsidRPr="001B3AE9" w:rsidRDefault="00B802E2" w:rsidP="00B802E2">
      <w:pPr>
        <w:pStyle w:val="Header"/>
        <w:tabs>
          <w:tab w:val="left" w:pos="1080"/>
        </w:tabs>
        <w:jc w:val="both"/>
        <w:rPr>
          <w:rFonts w:ascii="Times New Roman" w:hAnsi="Times New Roman"/>
          <w:sz w:val="24"/>
        </w:rPr>
      </w:pPr>
      <w:r w:rsidRPr="001B3AE9">
        <w:rPr>
          <w:rFonts w:ascii="Times New Roman" w:hAnsi="Times New Roman"/>
          <w:sz w:val="24"/>
        </w:rPr>
        <w:tab/>
        <w:t>Division of Senior and Disability Services</w:t>
      </w:r>
    </w:p>
    <w:p w:rsidR="00B802E2" w:rsidRPr="001B3AE9" w:rsidRDefault="00B802E2" w:rsidP="00B802E2">
      <w:pPr>
        <w:pStyle w:val="Header"/>
        <w:tabs>
          <w:tab w:val="left" w:pos="1080"/>
        </w:tabs>
        <w:jc w:val="both"/>
        <w:rPr>
          <w:rFonts w:ascii="Times New Roman" w:hAnsi="Times New Roman"/>
          <w:sz w:val="24"/>
        </w:rPr>
      </w:pPr>
      <w:r w:rsidRPr="001B3AE9">
        <w:rPr>
          <w:rFonts w:ascii="Times New Roman" w:hAnsi="Times New Roman"/>
          <w:sz w:val="24"/>
        </w:rPr>
        <w:tab/>
        <w:t xml:space="preserve">Adult Protective Services Policy </w:t>
      </w:r>
      <w:r w:rsidR="00D16143" w:rsidRPr="001B3AE9">
        <w:rPr>
          <w:rFonts w:ascii="Times New Roman" w:hAnsi="Times New Roman"/>
          <w:sz w:val="24"/>
        </w:rPr>
        <w:t xml:space="preserve">and Staff Development </w:t>
      </w:r>
      <w:r w:rsidRPr="001B3AE9">
        <w:rPr>
          <w:rFonts w:ascii="Times New Roman" w:hAnsi="Times New Roman"/>
          <w:sz w:val="24"/>
        </w:rPr>
        <w:t xml:space="preserve">Unit  </w:t>
      </w:r>
    </w:p>
    <w:p w:rsidR="00B802E2" w:rsidRPr="001B3AE9" w:rsidRDefault="00B802E2" w:rsidP="00B802E2">
      <w:pPr>
        <w:pStyle w:val="Header"/>
        <w:tabs>
          <w:tab w:val="left" w:pos="720"/>
        </w:tabs>
        <w:jc w:val="both"/>
        <w:rPr>
          <w:rFonts w:ascii="Times New Roman" w:hAnsi="Times New Roman"/>
          <w:sz w:val="24"/>
        </w:rPr>
      </w:pPr>
    </w:p>
    <w:p w:rsidR="00B802E2" w:rsidRPr="001B3AE9" w:rsidRDefault="00B802E2" w:rsidP="00B802E2">
      <w:pPr>
        <w:pStyle w:val="Header"/>
        <w:tabs>
          <w:tab w:val="left" w:pos="720"/>
        </w:tabs>
        <w:jc w:val="both"/>
        <w:rPr>
          <w:rFonts w:ascii="Times New Roman" w:hAnsi="Times New Roman"/>
          <w:sz w:val="24"/>
        </w:rPr>
      </w:pPr>
      <w:r w:rsidRPr="001B3AE9">
        <w:rPr>
          <w:rFonts w:ascii="Times New Roman" w:hAnsi="Times New Roman"/>
          <w:sz w:val="24"/>
        </w:rPr>
        <w:t xml:space="preserve">Subject:     </w:t>
      </w:r>
      <w:bookmarkStart w:id="0" w:name="_GoBack"/>
      <w:r w:rsidRPr="001B3AE9">
        <w:rPr>
          <w:rFonts w:ascii="Times New Roman" w:hAnsi="Times New Roman"/>
          <w:sz w:val="24"/>
        </w:rPr>
        <w:t xml:space="preserve">Senate Bill 599: </w:t>
      </w:r>
      <w:r w:rsidR="00D16143" w:rsidRPr="001B3AE9">
        <w:rPr>
          <w:rFonts w:ascii="Times New Roman" w:hAnsi="Times New Roman"/>
          <w:sz w:val="24"/>
        </w:rPr>
        <w:t xml:space="preserve">Revised </w:t>
      </w:r>
      <w:r w:rsidRPr="001B3AE9">
        <w:rPr>
          <w:rFonts w:ascii="Times New Roman" w:hAnsi="Times New Roman"/>
          <w:sz w:val="24"/>
        </w:rPr>
        <w:t xml:space="preserve">Senior Savings Protection Act </w:t>
      </w:r>
      <w:bookmarkEnd w:id="0"/>
    </w:p>
    <w:p w:rsidR="00B802E2" w:rsidRPr="001B3AE9" w:rsidRDefault="00B802E2" w:rsidP="00B802E2">
      <w:pPr>
        <w:pStyle w:val="Header"/>
        <w:tabs>
          <w:tab w:val="left" w:pos="720"/>
        </w:tabs>
        <w:jc w:val="both"/>
        <w:rPr>
          <w:rFonts w:ascii="Times New Roman" w:hAnsi="Times New Roman"/>
          <w:sz w:val="24"/>
        </w:rPr>
      </w:pPr>
    </w:p>
    <w:p w:rsidR="00992466" w:rsidRPr="001B3AE9" w:rsidRDefault="00992466" w:rsidP="001B3AE9">
      <w:pPr>
        <w:spacing w:after="200"/>
        <w:jc w:val="both"/>
        <w:rPr>
          <w:rFonts w:ascii="Times New Roman" w:hAnsi="Times New Roman"/>
          <w:sz w:val="24"/>
        </w:rPr>
      </w:pPr>
      <w:r w:rsidRPr="001B3AE9">
        <w:rPr>
          <w:rFonts w:ascii="Times New Roman" w:hAnsi="Times New Roman"/>
          <w:sz w:val="24"/>
        </w:rPr>
        <w:t xml:space="preserve">In 2015, the Senior Savings Protection Act was established with the goal to protect seniors and adults with disabilities from financial exploitation. When the broker/dealer believes the senior or adult with disabilities is a possible victim financial exploitation, they will notify authorized individuals on the account, as well as the Division of Senior and Disability Services (DSDS) and the Secretary of State (SOS) Commissioner of Securities.  </w:t>
      </w:r>
    </w:p>
    <w:p w:rsidR="00B802E2" w:rsidRPr="001B3AE9" w:rsidRDefault="00B802E2" w:rsidP="001B3AE9">
      <w:pPr>
        <w:spacing w:after="200"/>
        <w:jc w:val="both"/>
        <w:rPr>
          <w:rFonts w:ascii="Times New Roman" w:hAnsi="Times New Roman"/>
          <w:sz w:val="24"/>
        </w:rPr>
      </w:pPr>
      <w:r w:rsidRPr="001B3AE9">
        <w:rPr>
          <w:rFonts w:ascii="Times New Roman" w:hAnsi="Times New Roman"/>
          <w:sz w:val="24"/>
        </w:rPr>
        <w:t xml:space="preserve">During the 2020 Missouri Legislative session, </w:t>
      </w:r>
      <w:hyperlink r:id="rId9" w:history="1">
        <w:r w:rsidRPr="001B3AE9">
          <w:rPr>
            <w:rStyle w:val="Hyperlink"/>
            <w:rFonts w:ascii="Times New Roman" w:hAnsi="Times New Roman"/>
            <w:sz w:val="24"/>
          </w:rPr>
          <w:t>Senate Bill 599</w:t>
        </w:r>
      </w:hyperlink>
      <w:r w:rsidRPr="001B3AE9">
        <w:rPr>
          <w:rFonts w:ascii="Times New Roman" w:hAnsi="Times New Roman"/>
          <w:sz w:val="24"/>
        </w:rPr>
        <w:t xml:space="preserve"> was signed into law modifying the “Senior Savings Protection Act”, effective August 28</w:t>
      </w:r>
      <w:r w:rsidRPr="001B3AE9">
        <w:rPr>
          <w:rFonts w:ascii="Times New Roman" w:hAnsi="Times New Roman"/>
          <w:sz w:val="24"/>
          <w:vertAlign w:val="superscript"/>
        </w:rPr>
        <w:t>th</w:t>
      </w:r>
      <w:r w:rsidRPr="001B3AE9">
        <w:rPr>
          <w:rFonts w:ascii="Times New Roman" w:hAnsi="Times New Roman"/>
          <w:sz w:val="24"/>
        </w:rPr>
        <w:t xml:space="preserve">, 2020.  Under this new </w:t>
      </w:r>
      <w:r w:rsidR="001A612C" w:rsidRPr="001B3AE9">
        <w:rPr>
          <w:rFonts w:ascii="Times New Roman" w:hAnsi="Times New Roman"/>
          <w:sz w:val="24"/>
        </w:rPr>
        <w:t xml:space="preserve">amended </w:t>
      </w:r>
      <w:r w:rsidRPr="001B3AE9">
        <w:rPr>
          <w:rFonts w:ascii="Times New Roman" w:hAnsi="Times New Roman"/>
          <w:sz w:val="24"/>
        </w:rPr>
        <w:t xml:space="preserve">law, </w:t>
      </w:r>
      <w:r w:rsidR="001A612C" w:rsidRPr="001B3AE9">
        <w:rPr>
          <w:rFonts w:ascii="Times New Roman" w:hAnsi="Times New Roman"/>
          <w:sz w:val="24"/>
        </w:rPr>
        <w:t xml:space="preserve">the Director of Department of Health and Senior Services may order, upon request, </w:t>
      </w:r>
      <w:r w:rsidRPr="001B3AE9">
        <w:rPr>
          <w:rFonts w:ascii="Times New Roman" w:hAnsi="Times New Roman"/>
          <w:sz w:val="24"/>
        </w:rPr>
        <w:t xml:space="preserve">financial institutions </w:t>
      </w:r>
      <w:r w:rsidR="001A612C" w:rsidRPr="001B3AE9">
        <w:rPr>
          <w:rFonts w:ascii="Times New Roman" w:hAnsi="Times New Roman"/>
          <w:sz w:val="24"/>
        </w:rPr>
        <w:t>to</w:t>
      </w:r>
      <w:r w:rsidRPr="001B3AE9">
        <w:rPr>
          <w:rFonts w:ascii="Times New Roman" w:hAnsi="Times New Roman"/>
          <w:sz w:val="24"/>
        </w:rPr>
        <w:t xml:space="preserve"> hold financial transactions longer than 10 days, if a person associated with a financial broker/dealer has reason to believe that an investment transaction involving the account of a senior or adult with a disability would result in financial exploitation. </w:t>
      </w:r>
    </w:p>
    <w:p w:rsidR="00B53484" w:rsidRPr="001B3AE9" w:rsidRDefault="00B802E2" w:rsidP="001B3AE9">
      <w:pPr>
        <w:jc w:val="both"/>
        <w:rPr>
          <w:rFonts w:ascii="Times New Roman" w:hAnsi="Times New Roman"/>
          <w:sz w:val="24"/>
        </w:rPr>
      </w:pPr>
      <w:r w:rsidRPr="001B3AE9">
        <w:rPr>
          <w:rFonts w:ascii="Times New Roman" w:hAnsi="Times New Roman"/>
          <w:sz w:val="24"/>
        </w:rPr>
        <w:t xml:space="preserve">As a result of </w:t>
      </w:r>
      <w:r w:rsidR="002435C6">
        <w:rPr>
          <w:rFonts w:ascii="Times New Roman" w:hAnsi="Times New Roman"/>
          <w:sz w:val="24"/>
        </w:rPr>
        <w:t>this new legislation</w:t>
      </w:r>
      <w:r w:rsidR="00B53484" w:rsidRPr="001B3AE9">
        <w:rPr>
          <w:rFonts w:ascii="Times New Roman" w:hAnsi="Times New Roman"/>
          <w:sz w:val="24"/>
        </w:rPr>
        <w:t>,</w:t>
      </w:r>
      <w:r w:rsidRPr="001B3AE9">
        <w:rPr>
          <w:rFonts w:ascii="Times New Roman" w:hAnsi="Times New Roman"/>
          <w:sz w:val="24"/>
        </w:rPr>
        <w:t xml:space="preserve"> </w:t>
      </w:r>
      <w:r w:rsidR="00B53484" w:rsidRPr="001B3AE9">
        <w:rPr>
          <w:rFonts w:ascii="Times New Roman" w:hAnsi="Times New Roman"/>
          <w:sz w:val="24"/>
        </w:rPr>
        <w:t xml:space="preserve">field staff will not see much practice change. </w:t>
      </w:r>
      <w:r w:rsidRPr="001B3AE9">
        <w:rPr>
          <w:rFonts w:ascii="Times New Roman" w:hAnsi="Times New Roman"/>
          <w:sz w:val="24"/>
        </w:rPr>
        <w:t>DSDS</w:t>
      </w:r>
      <w:r w:rsidR="00B53484" w:rsidRPr="001B3AE9">
        <w:rPr>
          <w:rFonts w:ascii="Times New Roman" w:hAnsi="Times New Roman"/>
          <w:sz w:val="24"/>
        </w:rPr>
        <w:t xml:space="preserve"> APS Policy staff are currently working with Office of General Counsel (OGC) to </w:t>
      </w:r>
      <w:r w:rsidR="006B2605" w:rsidRPr="001B3AE9">
        <w:rPr>
          <w:rFonts w:ascii="Times New Roman" w:hAnsi="Times New Roman"/>
          <w:sz w:val="24"/>
        </w:rPr>
        <w:t>establish protocol</w:t>
      </w:r>
      <w:r w:rsidR="002435C6">
        <w:rPr>
          <w:rFonts w:ascii="Times New Roman" w:hAnsi="Times New Roman"/>
          <w:sz w:val="24"/>
        </w:rPr>
        <w:t>s</w:t>
      </w:r>
      <w:r w:rsidR="006B2605" w:rsidRPr="001B3AE9">
        <w:rPr>
          <w:rFonts w:ascii="Times New Roman" w:hAnsi="Times New Roman"/>
          <w:sz w:val="24"/>
        </w:rPr>
        <w:t xml:space="preserve">. Updates to the APS Policy Manual </w:t>
      </w:r>
      <w:r w:rsidR="002435C6">
        <w:rPr>
          <w:rFonts w:ascii="Times New Roman" w:hAnsi="Times New Roman"/>
          <w:sz w:val="24"/>
        </w:rPr>
        <w:t>will be</w:t>
      </w:r>
      <w:r w:rsidR="006B2605" w:rsidRPr="001B3AE9">
        <w:rPr>
          <w:rFonts w:ascii="Times New Roman" w:hAnsi="Times New Roman"/>
          <w:sz w:val="24"/>
        </w:rPr>
        <w:t xml:space="preserve"> forthcoming. </w:t>
      </w:r>
      <w:r w:rsidR="00B53484" w:rsidRPr="001B3AE9">
        <w:rPr>
          <w:rFonts w:ascii="Times New Roman" w:hAnsi="Times New Roman"/>
          <w:sz w:val="24"/>
        </w:rPr>
        <w:t xml:space="preserve"> If you receive a request to extend a hold from a financial institution currently holding a transaction due to reported exploitation, please summarize the following to the </w:t>
      </w:r>
      <w:hyperlink r:id="rId10" w:history="1">
        <w:r w:rsidR="00B53484" w:rsidRPr="009F2808">
          <w:rPr>
            <w:rStyle w:val="Hyperlink"/>
            <w:rFonts w:ascii="Times New Roman" w:hAnsi="Times New Roman"/>
            <w:sz w:val="24"/>
          </w:rPr>
          <w:t>APS Policy</w:t>
        </w:r>
      </w:hyperlink>
      <w:r w:rsidR="00B53484" w:rsidRPr="001B3AE9">
        <w:rPr>
          <w:rFonts w:ascii="Times New Roman" w:hAnsi="Times New Roman"/>
          <w:sz w:val="24"/>
        </w:rPr>
        <w:t xml:space="preserve"> email account:</w:t>
      </w:r>
    </w:p>
    <w:p w:rsidR="00B53484" w:rsidRPr="001B3AE9" w:rsidRDefault="00B53484" w:rsidP="001B3AE9">
      <w:pPr>
        <w:pStyle w:val="ListParagraph"/>
        <w:numPr>
          <w:ilvl w:val="0"/>
          <w:numId w:val="2"/>
        </w:numPr>
        <w:jc w:val="both"/>
        <w:rPr>
          <w:rFonts w:ascii="Times New Roman" w:hAnsi="Times New Roman"/>
          <w:sz w:val="24"/>
          <w:szCs w:val="24"/>
        </w:rPr>
      </w:pPr>
      <w:r w:rsidRPr="001B3AE9">
        <w:rPr>
          <w:rFonts w:ascii="Times New Roman" w:hAnsi="Times New Roman"/>
          <w:sz w:val="24"/>
          <w:szCs w:val="24"/>
        </w:rPr>
        <w:t xml:space="preserve">Allegations </w:t>
      </w:r>
    </w:p>
    <w:p w:rsidR="00B53484" w:rsidRPr="001B3AE9" w:rsidRDefault="00B53484" w:rsidP="001B3AE9">
      <w:pPr>
        <w:pStyle w:val="ListParagraph"/>
        <w:numPr>
          <w:ilvl w:val="0"/>
          <w:numId w:val="2"/>
        </w:numPr>
        <w:jc w:val="both"/>
        <w:rPr>
          <w:rFonts w:ascii="Times New Roman" w:hAnsi="Times New Roman"/>
          <w:sz w:val="24"/>
          <w:szCs w:val="24"/>
        </w:rPr>
      </w:pPr>
      <w:r w:rsidRPr="001B3AE9">
        <w:rPr>
          <w:rFonts w:ascii="Times New Roman" w:hAnsi="Times New Roman"/>
          <w:sz w:val="24"/>
          <w:szCs w:val="24"/>
        </w:rPr>
        <w:t>Actions taken by f</w:t>
      </w:r>
      <w:r w:rsidR="006B2605" w:rsidRPr="001B3AE9">
        <w:rPr>
          <w:rFonts w:ascii="Times New Roman" w:hAnsi="Times New Roman"/>
          <w:sz w:val="24"/>
          <w:szCs w:val="24"/>
        </w:rPr>
        <w:t>inancial institution</w:t>
      </w:r>
    </w:p>
    <w:p w:rsidR="006B2605" w:rsidRPr="001B3AE9" w:rsidRDefault="006B2605" w:rsidP="001B3AE9">
      <w:pPr>
        <w:pStyle w:val="ListParagraph"/>
        <w:numPr>
          <w:ilvl w:val="0"/>
          <w:numId w:val="2"/>
        </w:numPr>
        <w:jc w:val="both"/>
        <w:rPr>
          <w:rFonts w:ascii="Times New Roman" w:hAnsi="Times New Roman"/>
          <w:sz w:val="24"/>
          <w:szCs w:val="24"/>
        </w:rPr>
      </w:pPr>
      <w:r w:rsidRPr="001B3AE9">
        <w:rPr>
          <w:rFonts w:ascii="Times New Roman" w:hAnsi="Times New Roman"/>
          <w:sz w:val="24"/>
          <w:szCs w:val="24"/>
        </w:rPr>
        <w:t>Pending/filed criminal charges</w:t>
      </w:r>
    </w:p>
    <w:p w:rsidR="00B53484" w:rsidRPr="001B3AE9" w:rsidRDefault="00B53484" w:rsidP="001B3AE9">
      <w:pPr>
        <w:pStyle w:val="ListParagraph"/>
        <w:numPr>
          <w:ilvl w:val="0"/>
          <w:numId w:val="2"/>
        </w:numPr>
        <w:jc w:val="both"/>
        <w:rPr>
          <w:rFonts w:ascii="Times New Roman" w:hAnsi="Times New Roman"/>
          <w:sz w:val="24"/>
          <w:szCs w:val="24"/>
        </w:rPr>
      </w:pPr>
      <w:r w:rsidRPr="001B3AE9">
        <w:rPr>
          <w:rFonts w:ascii="Times New Roman" w:hAnsi="Times New Roman"/>
          <w:sz w:val="24"/>
          <w:szCs w:val="24"/>
        </w:rPr>
        <w:t>Reason for extension request</w:t>
      </w:r>
    </w:p>
    <w:p w:rsidR="00B53484" w:rsidRPr="001B3AE9" w:rsidRDefault="00B53484" w:rsidP="001B3AE9">
      <w:pPr>
        <w:pStyle w:val="ListParagraph"/>
        <w:numPr>
          <w:ilvl w:val="0"/>
          <w:numId w:val="2"/>
        </w:numPr>
        <w:jc w:val="both"/>
        <w:rPr>
          <w:rFonts w:ascii="Times New Roman" w:hAnsi="Times New Roman"/>
          <w:sz w:val="24"/>
          <w:szCs w:val="24"/>
        </w:rPr>
      </w:pPr>
      <w:r w:rsidRPr="001B3AE9">
        <w:rPr>
          <w:rFonts w:ascii="Times New Roman" w:hAnsi="Times New Roman"/>
          <w:sz w:val="24"/>
          <w:szCs w:val="24"/>
        </w:rPr>
        <w:t xml:space="preserve">Explanation of any attempts by alternative parties (i.e., </w:t>
      </w:r>
      <w:r w:rsidR="006B2605" w:rsidRPr="001B3AE9">
        <w:rPr>
          <w:rFonts w:ascii="Times New Roman" w:hAnsi="Times New Roman"/>
          <w:sz w:val="24"/>
          <w:szCs w:val="24"/>
        </w:rPr>
        <w:t xml:space="preserve">court, </w:t>
      </w:r>
      <w:r w:rsidRPr="001B3AE9">
        <w:rPr>
          <w:rFonts w:ascii="Times New Roman" w:hAnsi="Times New Roman"/>
          <w:sz w:val="24"/>
          <w:szCs w:val="24"/>
        </w:rPr>
        <w:t>Secretary of State Commissioner</w:t>
      </w:r>
      <w:r w:rsidR="006B2605" w:rsidRPr="001B3AE9">
        <w:rPr>
          <w:rFonts w:ascii="Times New Roman" w:hAnsi="Times New Roman"/>
          <w:sz w:val="24"/>
          <w:szCs w:val="24"/>
        </w:rPr>
        <w:t xml:space="preserve"> or Financial Institution)</w:t>
      </w:r>
    </w:p>
    <w:p w:rsidR="001B3AE9" w:rsidRDefault="001B3AE9" w:rsidP="001B3AE9">
      <w:pPr>
        <w:rPr>
          <w:rFonts w:ascii="Times New Roman" w:hAnsi="Times New Roman"/>
          <w:sz w:val="24"/>
        </w:rPr>
      </w:pPr>
    </w:p>
    <w:p w:rsidR="001B3AE9" w:rsidRPr="001B3AE9" w:rsidRDefault="002435C6" w:rsidP="001B3AE9">
      <w:pPr>
        <w:rPr>
          <w:rFonts w:ascii="Times New Roman" w:hAnsi="Times New Roman"/>
          <w:sz w:val="24"/>
        </w:rPr>
      </w:pPr>
      <w:r>
        <w:rPr>
          <w:rFonts w:ascii="Times New Roman" w:hAnsi="Times New Roman"/>
          <w:sz w:val="24"/>
        </w:rPr>
        <w:lastRenderedPageBreak/>
        <w:t xml:space="preserve">SOS issued a news release with further details on this new legislation. You may access the news release at </w:t>
      </w:r>
      <w:hyperlink r:id="rId11" w:history="1">
        <w:r w:rsidR="001B3AE9" w:rsidRPr="001B3AE9">
          <w:rPr>
            <w:rStyle w:val="Hyperlink"/>
            <w:rFonts w:ascii="Times New Roman" w:hAnsi="Times New Roman"/>
            <w:sz w:val="24"/>
          </w:rPr>
          <w:t>https://www.sos.mo.gov/default.aspx?PageId=9914</w:t>
        </w:r>
      </w:hyperlink>
    </w:p>
    <w:p w:rsidR="00B05B55" w:rsidRPr="00DC664E" w:rsidRDefault="00B05B55" w:rsidP="00B05B55">
      <w:pPr>
        <w:ind w:right="-180"/>
        <w:jc w:val="both"/>
        <w:rPr>
          <w:rFonts w:ascii="Times New Roman" w:hAnsi="Times New Roman"/>
          <w:sz w:val="22"/>
          <w:szCs w:val="22"/>
        </w:rPr>
      </w:pPr>
    </w:p>
    <w:p w:rsidR="00B05B55" w:rsidRPr="00DC664E" w:rsidRDefault="00B05B55" w:rsidP="00B05B55">
      <w:pPr>
        <w:pStyle w:val="Header"/>
        <w:pBdr>
          <w:top w:val="single" w:sz="4" w:space="1" w:color="auto"/>
          <w:left w:val="single" w:sz="4" w:space="4" w:color="auto"/>
          <w:bottom w:val="single" w:sz="4" w:space="1" w:color="auto"/>
          <w:right w:val="single" w:sz="4" w:space="9" w:color="auto"/>
        </w:pBdr>
        <w:spacing w:after="120"/>
        <w:jc w:val="both"/>
        <w:rPr>
          <w:rFonts w:ascii="Times New Roman" w:hAnsi="Times New Roman"/>
          <w:b/>
          <w:sz w:val="22"/>
          <w:szCs w:val="22"/>
        </w:rPr>
      </w:pPr>
      <w:r w:rsidRPr="00DC664E">
        <w:rPr>
          <w:rFonts w:ascii="Times New Roman" w:hAnsi="Times New Roman"/>
          <w:b/>
          <w:sz w:val="22"/>
          <w:szCs w:val="22"/>
        </w:rPr>
        <w:t>NECESSARY ACTION:</w:t>
      </w:r>
    </w:p>
    <w:p w:rsidR="00B05B55" w:rsidRPr="00DC664E" w:rsidRDefault="00B05B55" w:rsidP="00B05B55">
      <w:pPr>
        <w:pStyle w:val="Header"/>
        <w:numPr>
          <w:ilvl w:val="0"/>
          <w:numId w:val="3"/>
        </w:numPr>
        <w:pBdr>
          <w:top w:val="single" w:sz="4" w:space="1" w:color="auto"/>
          <w:left w:val="single" w:sz="4" w:space="4" w:color="auto"/>
          <w:bottom w:val="single" w:sz="4" w:space="1" w:color="auto"/>
          <w:right w:val="single" w:sz="4" w:space="9" w:color="auto"/>
        </w:pBdr>
        <w:tabs>
          <w:tab w:val="clear" w:pos="4320"/>
          <w:tab w:val="clear" w:pos="8640"/>
          <w:tab w:val="left" w:pos="-4050"/>
        </w:tabs>
        <w:spacing w:after="120"/>
        <w:jc w:val="both"/>
        <w:rPr>
          <w:rFonts w:ascii="Times New Roman" w:hAnsi="Times New Roman"/>
          <w:sz w:val="22"/>
          <w:szCs w:val="22"/>
        </w:rPr>
      </w:pPr>
      <w:r w:rsidRPr="00DC664E">
        <w:rPr>
          <w:rFonts w:ascii="Times New Roman" w:hAnsi="Times New Roman"/>
          <w:sz w:val="22"/>
          <w:szCs w:val="22"/>
        </w:rPr>
        <w:t>Review this memorandum with all APS staff</w:t>
      </w:r>
    </w:p>
    <w:p w:rsidR="00B05B55" w:rsidRPr="00DC664E" w:rsidRDefault="00B05B55" w:rsidP="00B05B55">
      <w:pPr>
        <w:pStyle w:val="Header"/>
        <w:numPr>
          <w:ilvl w:val="0"/>
          <w:numId w:val="3"/>
        </w:numPr>
        <w:pBdr>
          <w:top w:val="single" w:sz="4" w:space="1" w:color="auto"/>
          <w:left w:val="single" w:sz="4" w:space="4" w:color="auto"/>
          <w:bottom w:val="single" w:sz="4" w:space="1" w:color="auto"/>
          <w:right w:val="single" w:sz="4" w:space="9" w:color="auto"/>
        </w:pBdr>
        <w:tabs>
          <w:tab w:val="clear" w:pos="4320"/>
          <w:tab w:val="clear" w:pos="8640"/>
          <w:tab w:val="center" w:pos="-2880"/>
          <w:tab w:val="right" w:pos="-2790"/>
        </w:tabs>
        <w:spacing w:after="120"/>
        <w:jc w:val="both"/>
        <w:rPr>
          <w:rFonts w:ascii="Times New Roman" w:hAnsi="Times New Roman"/>
          <w:sz w:val="22"/>
          <w:szCs w:val="22"/>
        </w:rPr>
      </w:pPr>
      <w:r w:rsidRPr="00DC664E">
        <w:rPr>
          <w:rFonts w:ascii="Times New Roman" w:hAnsi="Times New Roman"/>
          <w:sz w:val="22"/>
          <w:szCs w:val="22"/>
        </w:rPr>
        <w:t xml:space="preserve">All questions should be cleared through normal supervisory channels and directed to the APS Policy &amp; Staff Development Unit at </w:t>
      </w:r>
      <w:hyperlink r:id="rId12" w:history="1">
        <w:r w:rsidRPr="001C3D94">
          <w:rPr>
            <w:rStyle w:val="Hyperlink"/>
            <w:rFonts w:ascii="Times New Roman" w:hAnsi="Times New Roman"/>
            <w:sz w:val="22"/>
            <w:szCs w:val="22"/>
          </w:rPr>
          <w:t>APSPolicy@health.mo.gov</w:t>
        </w:r>
      </w:hyperlink>
      <w:r>
        <w:rPr>
          <w:rFonts w:ascii="Times New Roman" w:hAnsi="Times New Roman"/>
          <w:sz w:val="22"/>
          <w:szCs w:val="22"/>
        </w:rPr>
        <w:t xml:space="preserve"> </w:t>
      </w:r>
      <w:r w:rsidRPr="00DC664E">
        <w:rPr>
          <w:rFonts w:ascii="Times New Roman" w:hAnsi="Times New Roman"/>
          <w:sz w:val="22"/>
          <w:szCs w:val="22"/>
        </w:rPr>
        <w:t>or by calling 573-526-0714.</w:t>
      </w:r>
    </w:p>
    <w:p w:rsidR="001B3AE9" w:rsidRPr="001B3AE9" w:rsidRDefault="001B3AE9" w:rsidP="001B3AE9">
      <w:pPr>
        <w:jc w:val="both"/>
        <w:rPr>
          <w:rFonts w:ascii="Times New Roman" w:hAnsi="Times New Roman"/>
          <w:sz w:val="24"/>
        </w:rPr>
      </w:pPr>
    </w:p>
    <w:sectPr w:rsidR="001B3AE9" w:rsidRPr="001B3AE9" w:rsidSect="00B05B55">
      <w:footerReference w:type="default" r:id="rId13"/>
      <w:headerReference w:type="first" r:id="rId14"/>
      <w:footerReference w:type="first" r:id="rId15"/>
      <w:pgSz w:w="12240" w:h="15840" w:code="1"/>
      <w:pgMar w:top="1440" w:right="1440" w:bottom="1440" w:left="1440" w:header="720" w:footer="50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612C" w:rsidRDefault="001A612C">
      <w:r>
        <w:separator/>
      </w:r>
    </w:p>
  </w:endnote>
  <w:endnote w:type="continuationSeparator" w:id="0">
    <w:p w:rsidR="001A612C" w:rsidRDefault="001A61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612C" w:rsidRDefault="001A612C">
    <w:pPr>
      <w:pStyle w:val="Footer"/>
      <w:tabs>
        <w:tab w:val="clear" w:pos="4320"/>
        <w:tab w:val="clear" w:pos="8640"/>
        <w:tab w:val="center" w:pos="4680"/>
      </w:tabs>
      <w:jc w:val="center"/>
      <w:rPr>
        <w:sz w:val="9"/>
      </w:rPr>
    </w:pP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612C" w:rsidRDefault="00541D31">
    <w:pPr>
      <w:pStyle w:val="Footer"/>
      <w:tabs>
        <w:tab w:val="clear" w:pos="4320"/>
        <w:tab w:val="center" w:pos="4680"/>
      </w:tabs>
      <w:jc w:val="center"/>
      <w:rPr>
        <w:b/>
        <w:bCs/>
        <w:sz w:val="14"/>
      </w:rPr>
    </w:pPr>
    <w:hyperlink r:id="rId1" w:history="1">
      <w:r w:rsidR="001A612C" w:rsidRPr="004A3FAB">
        <w:rPr>
          <w:rStyle w:val="Hyperlink"/>
          <w:b/>
          <w:bCs/>
          <w:sz w:val="14"/>
        </w:rPr>
        <w:t>www.health.mo.gov</w:t>
      </w:r>
    </w:hyperlink>
  </w:p>
  <w:p w:rsidR="001A612C" w:rsidRDefault="001A612C">
    <w:pPr>
      <w:pStyle w:val="Footer"/>
      <w:tabs>
        <w:tab w:val="clear" w:pos="4320"/>
        <w:tab w:val="center" w:pos="4680"/>
      </w:tabs>
      <w:jc w:val="center"/>
      <w:rPr>
        <w:b/>
        <w:bCs/>
        <w:sz w:val="14"/>
      </w:rPr>
    </w:pPr>
  </w:p>
  <w:p w:rsidR="001A612C" w:rsidRDefault="001A612C">
    <w:pPr>
      <w:pStyle w:val="Footer"/>
      <w:tabs>
        <w:tab w:val="clear" w:pos="4320"/>
        <w:tab w:val="center" w:pos="4680"/>
      </w:tabs>
      <w:jc w:val="center"/>
      <w:rPr>
        <w:b/>
        <w:bCs/>
        <w:sz w:val="14"/>
      </w:rPr>
    </w:pPr>
    <w:r>
      <w:rPr>
        <w:b/>
        <w:bCs/>
        <w:sz w:val="14"/>
      </w:rPr>
      <w:t>Healthy Missourians for life.</w:t>
    </w:r>
  </w:p>
  <w:p w:rsidR="001A612C" w:rsidRDefault="001A612C">
    <w:pPr>
      <w:pStyle w:val="Footer"/>
      <w:tabs>
        <w:tab w:val="clear" w:pos="4320"/>
        <w:tab w:val="center" w:pos="4680"/>
      </w:tabs>
      <w:jc w:val="center"/>
      <w:rPr>
        <w:rFonts w:cs="Arial"/>
        <w:sz w:val="15"/>
      </w:rPr>
    </w:pPr>
    <w:r>
      <w:rPr>
        <w:rFonts w:cs="Arial"/>
        <w:sz w:val="15"/>
      </w:rPr>
      <w:t>The Missouri Department of Health and Senior Services will be the leader in promoting, protecting and partnering for health.</w:t>
    </w:r>
  </w:p>
  <w:p w:rsidR="001A612C" w:rsidRDefault="001A612C">
    <w:pPr>
      <w:pStyle w:val="Footer"/>
      <w:tabs>
        <w:tab w:val="clear" w:pos="4320"/>
        <w:tab w:val="center" w:pos="4680"/>
      </w:tabs>
      <w:jc w:val="center"/>
      <w:rPr>
        <w:sz w:val="15"/>
      </w:rPr>
    </w:pPr>
  </w:p>
  <w:p w:rsidR="001A612C" w:rsidRDefault="001A612C">
    <w:pPr>
      <w:pStyle w:val="Footer"/>
      <w:tabs>
        <w:tab w:val="clear" w:pos="4320"/>
        <w:tab w:val="center" w:pos="4680"/>
      </w:tabs>
      <w:jc w:val="center"/>
      <w:rPr>
        <w:sz w:val="4"/>
      </w:rPr>
    </w:pPr>
  </w:p>
  <w:p w:rsidR="001A612C" w:rsidRDefault="001A612C">
    <w:pPr>
      <w:pStyle w:val="Footer"/>
      <w:tabs>
        <w:tab w:val="clear" w:pos="4320"/>
        <w:tab w:val="clear" w:pos="8640"/>
        <w:tab w:val="center" w:pos="4680"/>
      </w:tabs>
      <w:jc w:val="center"/>
      <w:rPr>
        <w:sz w:val="15"/>
      </w:rPr>
    </w:pPr>
    <w:r>
      <w:rPr>
        <w:sz w:val="15"/>
      </w:rPr>
      <w:t>AN EQUAL OPPORTUNITY / AFFIRMATIVE ACTION EMPLOYER: Services provided on a nondiscriminatory basis.</w:t>
    </w:r>
  </w:p>
  <w:p w:rsidR="001A612C" w:rsidRDefault="001A61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612C" w:rsidRDefault="001A612C">
      <w:r>
        <w:separator/>
      </w:r>
    </w:p>
  </w:footnote>
  <w:footnote w:type="continuationSeparator" w:id="0">
    <w:p w:rsidR="001A612C" w:rsidRDefault="001A61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6570"/>
      <w:gridCol w:w="1944"/>
    </w:tblGrid>
    <w:tr w:rsidR="001A612C" w:rsidTr="00A17BAD">
      <w:trPr>
        <w:cantSplit/>
        <w:trHeight w:val="900"/>
      </w:trPr>
      <w:tc>
        <w:tcPr>
          <w:tcW w:w="1728" w:type="dxa"/>
          <w:vMerge w:val="restart"/>
          <w:tcBorders>
            <w:top w:val="nil"/>
            <w:left w:val="nil"/>
            <w:bottom w:val="single" w:sz="4" w:space="0" w:color="auto"/>
            <w:right w:val="nil"/>
          </w:tcBorders>
        </w:tcPr>
        <w:p w:rsidR="001A612C" w:rsidRPr="000E40B3" w:rsidRDefault="002B2F58" w:rsidP="001359F0">
          <w:pPr>
            <w:pStyle w:val="Header"/>
            <w:tabs>
              <w:tab w:val="clear" w:pos="4320"/>
              <w:tab w:val="clear" w:pos="8640"/>
              <w:tab w:val="center" w:pos="570"/>
            </w:tabs>
            <w:ind w:left="-180" w:hanging="156"/>
          </w:pPr>
          <w:r>
            <w:rPr>
              <w:noProof/>
            </w:rPr>
            <mc:AlternateContent>
              <mc:Choice Requires="wps">
                <w:drawing>
                  <wp:anchor distT="0" distB="0" distL="114300" distR="114300" simplePos="0" relativeHeight="251657216" behindDoc="0" locked="0" layoutInCell="1" allowOverlap="1">
                    <wp:simplePos x="0" y="0"/>
                    <wp:positionH relativeFrom="column">
                      <wp:posOffset>13335</wp:posOffset>
                    </wp:positionH>
                    <wp:positionV relativeFrom="paragraph">
                      <wp:posOffset>19050</wp:posOffset>
                    </wp:positionV>
                    <wp:extent cx="1146810" cy="815340"/>
                    <wp:effectExtent l="3810" t="0" r="1905" b="381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810" cy="815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612C" w:rsidRDefault="002B2F58">
                                <w:r>
                                  <w:rPr>
                                    <w:noProof/>
                                  </w:rPr>
                                  <w:drawing>
                                    <wp:inline distT="0" distB="0" distL="0" distR="0">
                                      <wp:extent cx="848360" cy="723900"/>
                                      <wp:effectExtent l="0" t="0" r="0" b="0"/>
                                      <wp:docPr id="4" name="Picture 2" descr="DHSS Logo Final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SS Logo Final b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8360" cy="7239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1.05pt;margin-top:1.5pt;width:90.3pt;height:64.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" filled="f" stroked="f">
                    <v:textbox style="mso-fit-shape-to-text:t">
                      <w:txbxContent>
                        <w:p w:rsidR="001A612C" w:rsidRDefault="002B2F58">
                          <w:r>
                            <w:rPr>
                              <w:noProof/>
                            </w:rPr>
                            <w:drawing>
                              <wp:inline distT="0" distB="0" distL="0" distR="0">
                                <wp:extent cx="848360" cy="723900"/>
                                <wp:effectExtent l="0" t="0" r="0" b="0"/>
                                <wp:docPr id="4" name="Picture 2" descr="DHSS Logo Final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SS Logo Final b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8360" cy="723900"/>
                                        </a:xfrm>
                                        <a:prstGeom prst="rect">
                                          <a:avLst/>
                                        </a:prstGeom>
                                        <a:noFill/>
                                        <a:ln>
                                          <a:noFill/>
                                        </a:ln>
                                      </pic:spPr>
                                    </pic:pic>
                                  </a:graphicData>
                                </a:graphic>
                              </wp:inline>
                            </w:drawing>
                          </w:r>
                        </w:p>
                      </w:txbxContent>
                    </v:textbox>
                  </v:shape>
                </w:pict>
              </mc:Fallback>
            </mc:AlternateContent>
          </w:r>
          <w:r w:rsidR="001A612C">
            <w:tab/>
          </w:r>
          <w:r w:rsidR="001A612C">
            <w:tab/>
          </w:r>
        </w:p>
      </w:tc>
      <w:tc>
        <w:tcPr>
          <w:tcW w:w="6570" w:type="dxa"/>
          <w:tcBorders>
            <w:top w:val="nil"/>
            <w:left w:val="nil"/>
            <w:bottom w:val="single" w:sz="4" w:space="0" w:color="auto"/>
            <w:right w:val="nil"/>
          </w:tcBorders>
          <w:vAlign w:val="center"/>
        </w:tcPr>
        <w:p w:rsidR="001A612C" w:rsidRDefault="001A612C">
          <w:pPr>
            <w:pStyle w:val="Header"/>
            <w:ind w:hanging="108"/>
            <w:rPr>
              <w:rFonts w:ascii="Arial Narrow" w:hAnsi="Arial Narrow" w:cs="Arial"/>
              <w:b/>
              <w:bCs/>
              <w:sz w:val="22"/>
            </w:rPr>
          </w:pPr>
        </w:p>
        <w:p w:rsidR="001A612C" w:rsidRDefault="001A612C">
          <w:pPr>
            <w:pStyle w:val="Header"/>
            <w:ind w:hanging="108"/>
            <w:rPr>
              <w:rFonts w:ascii="Arial Narrow" w:hAnsi="Arial Narrow" w:cs="Arial"/>
              <w:b/>
              <w:bCs/>
              <w:sz w:val="22"/>
            </w:rPr>
          </w:pPr>
          <w:r>
            <w:rPr>
              <w:rFonts w:ascii="Arial Narrow" w:hAnsi="Arial Narrow" w:cs="Arial"/>
              <w:b/>
              <w:bCs/>
              <w:sz w:val="22"/>
            </w:rPr>
            <w:t>Missouri Department of Health and Senior Services</w:t>
          </w:r>
        </w:p>
        <w:p w:rsidR="001A612C" w:rsidRDefault="001A612C">
          <w:pPr>
            <w:pStyle w:val="Header"/>
            <w:ind w:hanging="108"/>
            <w:rPr>
              <w:rFonts w:cs="Arial"/>
              <w:sz w:val="15"/>
            </w:rPr>
          </w:pPr>
          <w:r>
            <w:rPr>
              <w:rFonts w:cs="Arial"/>
              <w:sz w:val="15"/>
            </w:rPr>
            <w:t>P.O. Box 570, Jefferson City, MO 65102-0570        Phone: 573-751-6400    FAX: 573-751-6010</w:t>
          </w:r>
        </w:p>
        <w:p w:rsidR="001A612C" w:rsidRDefault="001A612C" w:rsidP="00A86AB8">
          <w:pPr>
            <w:pStyle w:val="Header"/>
            <w:ind w:hanging="108"/>
            <w:rPr>
              <w:rFonts w:cs="Arial"/>
              <w:sz w:val="15"/>
            </w:rPr>
          </w:pPr>
          <w:r>
            <w:rPr>
              <w:rFonts w:cs="Arial"/>
              <w:sz w:val="15"/>
            </w:rPr>
            <w:t>RELAY MISSOURI for Hearing and Speech Impaired and Voice dial: 711</w:t>
          </w:r>
        </w:p>
      </w:tc>
      <w:tc>
        <w:tcPr>
          <w:tcW w:w="1944" w:type="dxa"/>
          <w:tcBorders>
            <w:top w:val="nil"/>
            <w:left w:val="nil"/>
            <w:bottom w:val="single" w:sz="4" w:space="0" w:color="auto"/>
            <w:right w:val="nil"/>
          </w:tcBorders>
        </w:tcPr>
        <w:p w:rsidR="001A612C" w:rsidRDefault="002B2F58" w:rsidP="00B070FB">
          <w:pPr>
            <w:pStyle w:val="Header"/>
            <w:ind w:right="-108" w:hanging="108"/>
            <w:jc w:val="center"/>
            <w:rPr>
              <w:rFonts w:cs="Arial"/>
            </w:rPr>
          </w:pPr>
          <w:r>
            <w:rPr>
              <w:rFonts w:cs="Arial"/>
              <w:b/>
              <w:noProof/>
            </w:rPr>
            <mc:AlternateContent>
              <mc:Choice Requires="wps">
                <w:drawing>
                  <wp:anchor distT="0" distB="0" distL="114300" distR="114300" simplePos="0" relativeHeight="251658240" behindDoc="0" locked="0" layoutInCell="1" allowOverlap="1">
                    <wp:simplePos x="0" y="0"/>
                    <wp:positionH relativeFrom="column">
                      <wp:posOffset>280035</wp:posOffset>
                    </wp:positionH>
                    <wp:positionV relativeFrom="paragraph">
                      <wp:posOffset>-137160</wp:posOffset>
                    </wp:positionV>
                    <wp:extent cx="841375" cy="709930"/>
                    <wp:effectExtent l="3810" t="0" r="254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375" cy="709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612C" w:rsidRDefault="002B2F58" w:rsidP="00D9015B">
                                <w:pPr>
                                  <w:ind w:hanging="90"/>
                                </w:pPr>
                                <w:r>
                                  <w:rPr>
                                    <w:rFonts w:cs="Arial"/>
                                    <w:b/>
                                    <w:noProof/>
                                  </w:rPr>
                                  <w:drawing>
                                    <wp:inline distT="0" distB="0" distL="0" distR="0">
                                      <wp:extent cx="658495" cy="66548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8495" cy="66548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left:0;text-align:left;margin-left:22.05pt;margin-top:-10.8pt;width:66.25pt;height:55.9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" filled="f" stroked="f">
                    <v:textbox>
                      <w:txbxContent>
                        <w:p w:rsidR="001A612C" w:rsidRDefault="002B2F58" w:rsidP="00D9015B">
                          <w:pPr>
                            <w:ind w:hanging="90"/>
                          </w:pPr>
                          <w:r>
                            <w:rPr>
                              <w:rFonts w:cs="Arial"/>
                              <w:b/>
                              <w:noProof/>
                            </w:rPr>
                            <w:drawing>
                              <wp:inline distT="0" distB="0" distL="0" distR="0">
                                <wp:extent cx="658495" cy="66548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8495" cy="665480"/>
                                        </a:xfrm>
                                        <a:prstGeom prst="rect">
                                          <a:avLst/>
                                        </a:prstGeom>
                                        <a:noFill/>
                                        <a:ln>
                                          <a:noFill/>
                                        </a:ln>
                                      </pic:spPr>
                                    </pic:pic>
                                  </a:graphicData>
                                </a:graphic>
                              </wp:inline>
                            </w:drawing>
                          </w:r>
                        </w:p>
                      </w:txbxContent>
                    </v:textbox>
                  </v:shape>
                </w:pict>
              </mc:Fallback>
            </mc:AlternateContent>
          </w:r>
          <w:r w:rsidR="001A612C">
            <w:rPr>
              <w:rFonts w:cs="Arial"/>
              <w:b/>
            </w:rPr>
            <w:t xml:space="preserve"> </w:t>
          </w:r>
        </w:p>
      </w:tc>
    </w:tr>
    <w:tr w:rsidR="001A612C" w:rsidTr="006D6284">
      <w:trPr>
        <w:cantSplit/>
        <w:trHeight w:val="553"/>
      </w:trPr>
      <w:tc>
        <w:tcPr>
          <w:tcW w:w="1728" w:type="dxa"/>
          <w:vMerge/>
          <w:tcBorders>
            <w:top w:val="single" w:sz="4" w:space="0" w:color="auto"/>
            <w:left w:val="nil"/>
            <w:bottom w:val="nil"/>
            <w:right w:val="nil"/>
          </w:tcBorders>
        </w:tcPr>
        <w:p w:rsidR="001A612C" w:rsidRDefault="001A612C">
          <w:pPr>
            <w:pStyle w:val="Header"/>
          </w:pPr>
        </w:p>
      </w:tc>
      <w:tc>
        <w:tcPr>
          <w:tcW w:w="6570" w:type="dxa"/>
          <w:tcBorders>
            <w:top w:val="single" w:sz="4" w:space="0" w:color="auto"/>
            <w:left w:val="nil"/>
            <w:bottom w:val="nil"/>
            <w:right w:val="nil"/>
          </w:tcBorders>
        </w:tcPr>
        <w:p w:rsidR="001A612C" w:rsidRDefault="001A612C">
          <w:pPr>
            <w:pStyle w:val="Header"/>
            <w:ind w:hanging="108"/>
            <w:rPr>
              <w:b/>
              <w:bCs/>
              <w:sz w:val="4"/>
            </w:rPr>
          </w:pPr>
        </w:p>
        <w:p w:rsidR="001A612C" w:rsidRDefault="001A612C" w:rsidP="00932D40">
          <w:pPr>
            <w:pStyle w:val="Header"/>
            <w:ind w:hanging="108"/>
            <w:rPr>
              <w:b/>
              <w:sz w:val="16"/>
              <w:szCs w:val="16"/>
            </w:rPr>
          </w:pPr>
          <w:r>
            <w:rPr>
              <w:b/>
              <w:sz w:val="16"/>
              <w:szCs w:val="16"/>
            </w:rPr>
            <w:t>Randall W. Williams, MD, FACOG</w:t>
          </w:r>
        </w:p>
        <w:p w:rsidR="001A612C" w:rsidRPr="00932D40" w:rsidRDefault="001A612C" w:rsidP="00932D40">
          <w:pPr>
            <w:pStyle w:val="Header"/>
            <w:ind w:hanging="108"/>
            <w:rPr>
              <w:b/>
              <w:sz w:val="16"/>
              <w:szCs w:val="16"/>
            </w:rPr>
          </w:pPr>
          <w:r>
            <w:rPr>
              <w:sz w:val="14"/>
            </w:rPr>
            <w:t>Director</w:t>
          </w:r>
        </w:p>
      </w:tc>
      <w:tc>
        <w:tcPr>
          <w:tcW w:w="1944" w:type="dxa"/>
          <w:tcBorders>
            <w:top w:val="single" w:sz="4" w:space="0" w:color="auto"/>
            <w:left w:val="nil"/>
            <w:bottom w:val="nil"/>
            <w:right w:val="nil"/>
          </w:tcBorders>
        </w:tcPr>
        <w:p w:rsidR="001A612C" w:rsidRDefault="001A612C" w:rsidP="00995AD8">
          <w:pPr>
            <w:pStyle w:val="Header"/>
            <w:jc w:val="center"/>
            <w:rPr>
              <w:b/>
              <w:bCs/>
              <w:sz w:val="4"/>
            </w:rPr>
          </w:pPr>
        </w:p>
        <w:p w:rsidR="001A612C" w:rsidRDefault="001A612C" w:rsidP="00742E0F">
          <w:pPr>
            <w:pStyle w:val="Header"/>
            <w:ind w:left="-6" w:right="-288"/>
            <w:jc w:val="center"/>
            <w:rPr>
              <w:b/>
              <w:bCs/>
              <w:sz w:val="16"/>
            </w:rPr>
          </w:pPr>
          <w:r>
            <w:rPr>
              <w:b/>
              <w:bCs/>
              <w:sz w:val="16"/>
            </w:rPr>
            <w:t>Michael L. Parson</w:t>
          </w:r>
        </w:p>
        <w:p w:rsidR="001A612C" w:rsidRDefault="001A612C" w:rsidP="00742E0F">
          <w:pPr>
            <w:pStyle w:val="Header"/>
            <w:jc w:val="center"/>
            <w:rPr>
              <w:sz w:val="14"/>
            </w:rPr>
          </w:pPr>
          <w:r>
            <w:rPr>
              <w:sz w:val="14"/>
            </w:rPr>
            <w:t xml:space="preserve">    Governor</w:t>
          </w:r>
        </w:p>
      </w:tc>
    </w:tr>
  </w:tbl>
  <w:p w:rsidR="001A612C" w:rsidRDefault="001A612C" w:rsidP="00A17B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196789"/>
    <w:multiLevelType w:val="hybridMultilevel"/>
    <w:tmpl w:val="03320B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71837C1"/>
    <w:multiLevelType w:val="hybridMultilevel"/>
    <w:tmpl w:val="6AD6F33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470F3F5D"/>
    <w:multiLevelType w:val="hybridMultilevel"/>
    <w:tmpl w:val="7C4CD516"/>
    <w:lvl w:ilvl="0" w:tplc="0EDAFE9E">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num w:numId="1">
    <w:abstractNumId w:val="0"/>
  </w:num>
  <w:num w:numId="2">
    <w:abstractNumId w:val="1"/>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00"/>
  <w:displayHorizontalDrawingGridEvery w:val="2"/>
  <w:displayVerticalDrawingGridEvery w:val="2"/>
  <w:noPunctuationKerning/>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40B3"/>
    <w:rsid w:val="00005F55"/>
    <w:rsid w:val="00052C63"/>
    <w:rsid w:val="000E40B3"/>
    <w:rsid w:val="00105609"/>
    <w:rsid w:val="0012324F"/>
    <w:rsid w:val="001359F0"/>
    <w:rsid w:val="00150FA7"/>
    <w:rsid w:val="00161B85"/>
    <w:rsid w:val="00174334"/>
    <w:rsid w:val="001A3A65"/>
    <w:rsid w:val="001A612C"/>
    <w:rsid w:val="001B3AE9"/>
    <w:rsid w:val="002030DE"/>
    <w:rsid w:val="002435C6"/>
    <w:rsid w:val="002718D1"/>
    <w:rsid w:val="002848E7"/>
    <w:rsid w:val="002B2F58"/>
    <w:rsid w:val="003215FA"/>
    <w:rsid w:val="00367CB9"/>
    <w:rsid w:val="003F03CB"/>
    <w:rsid w:val="00482914"/>
    <w:rsid w:val="004A415D"/>
    <w:rsid w:val="004E222E"/>
    <w:rsid w:val="004E68ED"/>
    <w:rsid w:val="00505E51"/>
    <w:rsid w:val="00517C98"/>
    <w:rsid w:val="005373D0"/>
    <w:rsid w:val="00541D31"/>
    <w:rsid w:val="00606F7D"/>
    <w:rsid w:val="00637F2D"/>
    <w:rsid w:val="00690D37"/>
    <w:rsid w:val="00696A6F"/>
    <w:rsid w:val="006B0D58"/>
    <w:rsid w:val="006B2605"/>
    <w:rsid w:val="006D6284"/>
    <w:rsid w:val="006E3AFA"/>
    <w:rsid w:val="006F405C"/>
    <w:rsid w:val="00712F27"/>
    <w:rsid w:val="00742E0F"/>
    <w:rsid w:val="00744AD3"/>
    <w:rsid w:val="007E64FA"/>
    <w:rsid w:val="007F129A"/>
    <w:rsid w:val="008B0010"/>
    <w:rsid w:val="008C2017"/>
    <w:rsid w:val="008C2F9B"/>
    <w:rsid w:val="00917945"/>
    <w:rsid w:val="00925C1D"/>
    <w:rsid w:val="00932D40"/>
    <w:rsid w:val="00935266"/>
    <w:rsid w:val="0099016B"/>
    <w:rsid w:val="00992466"/>
    <w:rsid w:val="00995AD8"/>
    <w:rsid w:val="009A2842"/>
    <w:rsid w:val="009C3AA7"/>
    <w:rsid w:val="009C4DA7"/>
    <w:rsid w:val="009D0503"/>
    <w:rsid w:val="009F2808"/>
    <w:rsid w:val="00A169A6"/>
    <w:rsid w:val="00A17BAD"/>
    <w:rsid w:val="00A31A2C"/>
    <w:rsid w:val="00A86AB8"/>
    <w:rsid w:val="00AF49BD"/>
    <w:rsid w:val="00B05B55"/>
    <w:rsid w:val="00B070FB"/>
    <w:rsid w:val="00B53484"/>
    <w:rsid w:val="00B7325B"/>
    <w:rsid w:val="00B802E2"/>
    <w:rsid w:val="00B87590"/>
    <w:rsid w:val="00BA1427"/>
    <w:rsid w:val="00BB3C1D"/>
    <w:rsid w:val="00BF2181"/>
    <w:rsid w:val="00C421B5"/>
    <w:rsid w:val="00C82DB2"/>
    <w:rsid w:val="00CA0AD6"/>
    <w:rsid w:val="00CD01F0"/>
    <w:rsid w:val="00D03C1E"/>
    <w:rsid w:val="00D16143"/>
    <w:rsid w:val="00D17E30"/>
    <w:rsid w:val="00D31334"/>
    <w:rsid w:val="00D9015B"/>
    <w:rsid w:val="00DA6ACD"/>
    <w:rsid w:val="00DB0051"/>
    <w:rsid w:val="00DC5AA4"/>
    <w:rsid w:val="00E03103"/>
    <w:rsid w:val="00E10E41"/>
    <w:rsid w:val="00E60113"/>
    <w:rsid w:val="00E70751"/>
    <w:rsid w:val="00EA6281"/>
    <w:rsid w:val="00EC650D"/>
    <w:rsid w:val="00F44F9E"/>
    <w:rsid w:val="00F66015"/>
    <w:rsid w:val="00F804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o:shapelayout v:ext="edit">
      <o:idmap v:ext="edit" data="1"/>
    </o:shapelayout>
  </w:shapeDefaults>
  <w:decimalSymbol w:val="."/>
  <w:listSeparator w:val=","/>
  <w15:chartTrackingRefBased/>
  <w15:docId w15:val="{A3BDB740-80BA-4BCA-9649-6299951020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5F55"/>
    <w:rPr>
      <w:rFonts w:ascii="Arial" w:hAnsi="Arial"/>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005F55"/>
    <w:pPr>
      <w:tabs>
        <w:tab w:val="center" w:pos="4320"/>
        <w:tab w:val="right" w:pos="8640"/>
      </w:tabs>
    </w:pPr>
  </w:style>
  <w:style w:type="paragraph" w:styleId="Footer">
    <w:name w:val="footer"/>
    <w:basedOn w:val="Normal"/>
    <w:semiHidden/>
    <w:rsid w:val="00005F55"/>
    <w:pPr>
      <w:tabs>
        <w:tab w:val="center" w:pos="4320"/>
        <w:tab w:val="right" w:pos="8640"/>
      </w:tabs>
    </w:pPr>
  </w:style>
  <w:style w:type="character" w:styleId="Hyperlink">
    <w:name w:val="Hyperlink"/>
    <w:semiHidden/>
    <w:rsid w:val="00005F55"/>
    <w:rPr>
      <w:color w:val="0000FF"/>
      <w:u w:val="single"/>
    </w:rPr>
  </w:style>
  <w:style w:type="character" w:styleId="FollowedHyperlink">
    <w:name w:val="FollowedHyperlink"/>
    <w:semiHidden/>
    <w:rsid w:val="00005F55"/>
    <w:rPr>
      <w:color w:val="800080"/>
      <w:u w:val="single"/>
    </w:rPr>
  </w:style>
  <w:style w:type="character" w:styleId="PageNumber">
    <w:name w:val="page number"/>
    <w:basedOn w:val="DefaultParagraphFont"/>
    <w:semiHidden/>
    <w:rsid w:val="00005F55"/>
  </w:style>
  <w:style w:type="paragraph" w:styleId="BalloonText">
    <w:name w:val="Balloon Text"/>
    <w:basedOn w:val="Normal"/>
    <w:link w:val="BalloonTextChar"/>
    <w:uiPriority w:val="99"/>
    <w:semiHidden/>
    <w:unhideWhenUsed/>
    <w:rsid w:val="00BF2181"/>
    <w:rPr>
      <w:rFonts w:ascii="Tahoma" w:hAnsi="Tahoma" w:cs="Tahoma"/>
      <w:sz w:val="16"/>
      <w:szCs w:val="16"/>
    </w:rPr>
  </w:style>
  <w:style w:type="character" w:customStyle="1" w:styleId="BalloonTextChar">
    <w:name w:val="Balloon Text Char"/>
    <w:link w:val="BalloonText"/>
    <w:uiPriority w:val="99"/>
    <w:semiHidden/>
    <w:rsid w:val="00BF2181"/>
    <w:rPr>
      <w:rFonts w:ascii="Tahoma" w:hAnsi="Tahoma" w:cs="Tahoma"/>
      <w:sz w:val="16"/>
      <w:szCs w:val="16"/>
    </w:rPr>
  </w:style>
  <w:style w:type="character" w:customStyle="1" w:styleId="HeaderChar">
    <w:name w:val="Header Char"/>
    <w:link w:val="Header"/>
    <w:uiPriority w:val="99"/>
    <w:semiHidden/>
    <w:rsid w:val="00742E0F"/>
    <w:rPr>
      <w:rFonts w:ascii="Arial" w:hAnsi="Arial"/>
      <w:szCs w:val="24"/>
    </w:rPr>
  </w:style>
  <w:style w:type="paragraph" w:styleId="ListParagraph">
    <w:name w:val="List Paragraph"/>
    <w:basedOn w:val="Normal"/>
    <w:uiPriority w:val="34"/>
    <w:qFormat/>
    <w:rsid w:val="00B802E2"/>
    <w:pPr>
      <w:ind w:left="720"/>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679844">
      <w:bodyDiv w:val="1"/>
      <w:marLeft w:val="0"/>
      <w:marRight w:val="0"/>
      <w:marTop w:val="0"/>
      <w:marBottom w:val="0"/>
      <w:divBdr>
        <w:top w:val="none" w:sz="0" w:space="0" w:color="auto"/>
        <w:left w:val="none" w:sz="0" w:space="0" w:color="auto"/>
        <w:bottom w:val="none" w:sz="0" w:space="0" w:color="auto"/>
        <w:right w:val="none" w:sz="0" w:space="0" w:color="auto"/>
      </w:divBdr>
    </w:div>
    <w:div w:id="329528405">
      <w:bodyDiv w:val="1"/>
      <w:marLeft w:val="0"/>
      <w:marRight w:val="0"/>
      <w:marTop w:val="0"/>
      <w:marBottom w:val="0"/>
      <w:divBdr>
        <w:top w:val="none" w:sz="0" w:space="0" w:color="auto"/>
        <w:left w:val="none" w:sz="0" w:space="0" w:color="auto"/>
        <w:bottom w:val="none" w:sz="0" w:space="0" w:color="auto"/>
        <w:right w:val="none" w:sz="0" w:space="0" w:color="auto"/>
      </w:divBdr>
    </w:div>
    <w:div w:id="1688368803">
      <w:bodyDiv w:val="1"/>
      <w:marLeft w:val="0"/>
      <w:marRight w:val="0"/>
      <w:marTop w:val="0"/>
      <w:marBottom w:val="0"/>
      <w:divBdr>
        <w:top w:val="none" w:sz="0" w:space="0" w:color="auto"/>
        <w:left w:val="none" w:sz="0" w:space="0" w:color="auto"/>
        <w:bottom w:val="none" w:sz="0" w:space="0" w:color="auto"/>
        <w:right w:val="none" w:sz="0" w:space="0" w:color="auto"/>
      </w:divBdr>
    </w:div>
    <w:div w:id="2141341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PSPolicy@health.mo.gov"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os.mo.gov/default.aspx?PageId=9914"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APSPolicy@health.mo.gov" TargetMode="External"/><Relationship Id="rId4" Type="http://schemas.openxmlformats.org/officeDocument/2006/relationships/settings" Target="settings.xml"/><Relationship Id="rId9" Type="http://schemas.openxmlformats.org/officeDocument/2006/relationships/hyperlink" Target="https://www.senate.mo.gov/20info/pdf-bill/tat/SB599.pdf"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www.health.mo.gov"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jpeg"/><Relationship Id="rId1" Type="http://schemas.openxmlformats.org/officeDocument/2006/relationships/image" Target="media/image2.jpeg"/><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73786A-D011-4A7A-A827-F45F95EE00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351</Words>
  <Characters>2292</Characters>
  <Application>Microsoft Office Word</Application>
  <DocSecurity>4</DocSecurity>
  <Lines>19</Lines>
  <Paragraphs>5</Paragraphs>
  <ScaleCrop>false</ScaleCrop>
  <HeadingPairs>
    <vt:vector size="2" baseType="variant">
      <vt:variant>
        <vt:lpstr>Title</vt:lpstr>
      </vt:variant>
      <vt:variant>
        <vt:i4>1</vt:i4>
      </vt:variant>
    </vt:vector>
  </HeadingPairs>
  <TitlesOfParts>
    <vt:vector size="1" baseType="lpstr">
      <vt:lpstr>cccccc</vt:lpstr>
    </vt:vector>
  </TitlesOfParts>
  <Company>Missouri Department of Health and Senior Services</Company>
  <LinksUpToDate>false</LinksUpToDate>
  <CharactersWithSpaces>2638</CharactersWithSpaces>
  <SharedDoc>false</SharedDoc>
  <HLinks>
    <vt:vector size="6" baseType="variant">
      <vt:variant>
        <vt:i4>393245</vt:i4>
      </vt:variant>
      <vt:variant>
        <vt:i4>0</vt:i4>
      </vt:variant>
      <vt:variant>
        <vt:i4>0</vt:i4>
      </vt:variant>
      <vt:variant>
        <vt:i4>5</vt:i4>
      </vt:variant>
      <vt:variant>
        <vt:lpwstr>http://www.health.mo.gov/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cccccc</dc:title>
  <dc:subject/>
  <dc:creator>Randall, Yvette</dc:creator>
  <cp:keywords/>
  <dc:description/>
  <cp:lastModifiedBy>Clark, Jody</cp:lastModifiedBy>
  <cp:revision>2</cp:revision>
  <cp:lastPrinted>2017-11-02T14:20:00Z</cp:lastPrinted>
  <dcterms:created xsi:type="dcterms:W3CDTF">2020-09-01T21:58:00Z</dcterms:created>
  <dcterms:modified xsi:type="dcterms:W3CDTF">2020-09-01T21:58:00Z</dcterms:modified>
</cp:coreProperties>
</file>