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065" w:rsidRPr="00E20305" w:rsidRDefault="0000005C" w:rsidP="00E20305">
      <w:pPr>
        <w:pStyle w:val="Header"/>
        <w:tabs>
          <w:tab w:val="left" w:pos="720"/>
        </w:tabs>
        <w:jc w:val="right"/>
        <w:rPr>
          <w:rFonts w:ascii="Times New Roman" w:hAnsi="Times New Roman"/>
          <w:sz w:val="24"/>
        </w:rPr>
      </w:pPr>
      <w:bookmarkStart w:id="0" w:name="_GoBack"/>
      <w:bookmarkEnd w:id="0"/>
      <w:r w:rsidRPr="00E20305">
        <w:rPr>
          <w:rFonts w:ascii="Times New Roman" w:hAnsi="Times New Roman"/>
          <w:sz w:val="24"/>
        </w:rPr>
        <w:t xml:space="preserve">  </w:t>
      </w:r>
      <w:r w:rsidR="007500EF" w:rsidRPr="00E20305">
        <w:rPr>
          <w:rFonts w:ascii="Times New Roman" w:hAnsi="Times New Roman"/>
          <w:sz w:val="24"/>
        </w:rPr>
        <w:t>A</w:t>
      </w:r>
      <w:r w:rsidR="00010E55" w:rsidRPr="00E20305">
        <w:rPr>
          <w:rFonts w:ascii="Times New Roman" w:hAnsi="Times New Roman"/>
          <w:sz w:val="24"/>
        </w:rPr>
        <w:t>PS</w:t>
      </w:r>
      <w:r w:rsidR="00A9530C" w:rsidRPr="00E20305">
        <w:rPr>
          <w:rFonts w:ascii="Times New Roman" w:hAnsi="Times New Roman"/>
          <w:sz w:val="24"/>
        </w:rPr>
        <w:t>-</w:t>
      </w:r>
      <w:r w:rsidR="000C7338" w:rsidRPr="00E20305">
        <w:rPr>
          <w:rFonts w:ascii="Times New Roman" w:hAnsi="Times New Roman"/>
          <w:sz w:val="24"/>
        </w:rPr>
        <w:t>20</w:t>
      </w:r>
      <w:r w:rsidR="005777C7" w:rsidRPr="00E20305">
        <w:rPr>
          <w:rFonts w:ascii="Times New Roman" w:hAnsi="Times New Roman"/>
          <w:sz w:val="24"/>
        </w:rPr>
        <w:t>-</w:t>
      </w:r>
      <w:r w:rsidR="000C7338" w:rsidRPr="00E20305">
        <w:rPr>
          <w:rFonts w:ascii="Times New Roman" w:hAnsi="Times New Roman"/>
          <w:sz w:val="24"/>
        </w:rPr>
        <w:t>15</w:t>
      </w:r>
    </w:p>
    <w:p w:rsidR="002D5DD1" w:rsidRPr="00E20305" w:rsidRDefault="00F11B9B" w:rsidP="00C44065">
      <w:pPr>
        <w:pStyle w:val="Header"/>
        <w:tabs>
          <w:tab w:val="left" w:pos="720"/>
        </w:tabs>
        <w:jc w:val="center"/>
        <w:rPr>
          <w:rFonts w:ascii="Times New Roman" w:hAnsi="Times New Roman"/>
          <w:sz w:val="24"/>
        </w:rPr>
      </w:pPr>
      <w:r w:rsidRPr="00E20305">
        <w:rPr>
          <w:rFonts w:ascii="Times New Roman" w:hAnsi="Times New Roman"/>
          <w:sz w:val="24"/>
        </w:rPr>
        <w:t>June</w:t>
      </w:r>
      <w:r w:rsidR="000966B6" w:rsidRPr="00E20305">
        <w:rPr>
          <w:rFonts w:ascii="Times New Roman" w:hAnsi="Times New Roman"/>
          <w:sz w:val="24"/>
        </w:rPr>
        <w:t xml:space="preserve"> </w:t>
      </w:r>
      <w:r w:rsidR="00001049">
        <w:rPr>
          <w:rFonts w:ascii="Times New Roman" w:hAnsi="Times New Roman"/>
          <w:sz w:val="24"/>
        </w:rPr>
        <w:t>10</w:t>
      </w:r>
      <w:r w:rsidR="009D3128" w:rsidRPr="00E20305">
        <w:rPr>
          <w:rFonts w:ascii="Times New Roman" w:hAnsi="Times New Roman"/>
          <w:sz w:val="24"/>
        </w:rPr>
        <w:t xml:space="preserve">, </w:t>
      </w:r>
      <w:r w:rsidR="002C5DF1" w:rsidRPr="00E20305">
        <w:rPr>
          <w:rFonts w:ascii="Times New Roman" w:hAnsi="Times New Roman"/>
          <w:sz w:val="24"/>
        </w:rPr>
        <w:t>20</w:t>
      </w:r>
      <w:r w:rsidR="000C7338" w:rsidRPr="00E20305">
        <w:rPr>
          <w:rFonts w:ascii="Times New Roman" w:hAnsi="Times New Roman"/>
          <w:sz w:val="24"/>
        </w:rPr>
        <w:t>20</w:t>
      </w:r>
    </w:p>
    <w:p w:rsidR="00C44065" w:rsidRPr="00E20305" w:rsidRDefault="00C44065" w:rsidP="00976693">
      <w:pPr>
        <w:pStyle w:val="Header"/>
        <w:tabs>
          <w:tab w:val="left" w:pos="720"/>
        </w:tabs>
        <w:jc w:val="both"/>
        <w:rPr>
          <w:rFonts w:ascii="Times New Roman" w:hAnsi="Times New Roman"/>
          <w:b/>
          <w:sz w:val="24"/>
        </w:rPr>
      </w:pPr>
    </w:p>
    <w:p w:rsidR="00DD4FC4" w:rsidRPr="00E20305" w:rsidRDefault="00DD4FC4" w:rsidP="00976693">
      <w:pPr>
        <w:pStyle w:val="Header"/>
        <w:tabs>
          <w:tab w:val="left" w:pos="720"/>
        </w:tabs>
        <w:jc w:val="both"/>
        <w:rPr>
          <w:rFonts w:ascii="Times New Roman" w:hAnsi="Times New Roman"/>
          <w:b/>
          <w:sz w:val="24"/>
        </w:rPr>
      </w:pPr>
      <w:r w:rsidRPr="00E20305">
        <w:rPr>
          <w:rFonts w:ascii="Times New Roman" w:hAnsi="Times New Roman"/>
          <w:b/>
          <w:sz w:val="24"/>
        </w:rPr>
        <w:t>MEMORANDUM FOR DIVISION OF SENIOR &amp; DISABILITY SERVICES ADULT PROTECTIVE SERVICES STAFF</w:t>
      </w:r>
    </w:p>
    <w:p w:rsidR="00DD4FC4" w:rsidRPr="00E20305" w:rsidRDefault="00C917FB" w:rsidP="00DD6962">
      <w:pPr>
        <w:pStyle w:val="Header"/>
        <w:tabs>
          <w:tab w:val="left" w:pos="1080"/>
        </w:tabs>
        <w:jc w:val="both"/>
        <w:rPr>
          <w:rFonts w:ascii="Times New Roman" w:hAnsi="Times New Roman"/>
          <w:sz w:val="24"/>
        </w:rPr>
      </w:pPr>
      <w:r w:rsidRPr="00E20305">
        <w:rPr>
          <w:rFonts w:ascii="Times New Roman" w:hAnsi="Times New Roman"/>
          <w:sz w:val="24"/>
        </w:rPr>
        <w:t>From:</w:t>
      </w:r>
      <w:r w:rsidRPr="00E20305">
        <w:rPr>
          <w:rFonts w:ascii="Times New Roman" w:hAnsi="Times New Roman"/>
          <w:sz w:val="24"/>
        </w:rPr>
        <w:tab/>
      </w:r>
      <w:r w:rsidR="00DD4FC4" w:rsidRPr="00E20305">
        <w:rPr>
          <w:rFonts w:ascii="Times New Roman" w:hAnsi="Times New Roman"/>
          <w:sz w:val="24"/>
        </w:rPr>
        <w:t xml:space="preserve">Kathryn Sharp Sapp, Bureau Chief </w:t>
      </w:r>
      <w:r w:rsidR="003209A5" w:rsidRPr="00162EC7">
        <w:rPr>
          <w:noProof/>
        </w:rPr>
        <w:drawing>
          <wp:inline distT="0" distB="0" distL="0" distR="0">
            <wp:extent cx="1285875" cy="3905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DD4FC4" w:rsidRPr="00E20305" w:rsidRDefault="00DD4FC4" w:rsidP="00DD6962">
      <w:pPr>
        <w:pStyle w:val="Header"/>
        <w:tabs>
          <w:tab w:val="left" w:pos="1080"/>
        </w:tabs>
        <w:jc w:val="both"/>
        <w:rPr>
          <w:rFonts w:ascii="Times New Roman" w:hAnsi="Times New Roman"/>
          <w:sz w:val="24"/>
        </w:rPr>
      </w:pPr>
      <w:r w:rsidRPr="00E20305">
        <w:rPr>
          <w:rFonts w:ascii="Times New Roman" w:hAnsi="Times New Roman"/>
          <w:sz w:val="24"/>
        </w:rPr>
        <w:tab/>
        <w:t>Division of Senior and Disability Services</w:t>
      </w:r>
    </w:p>
    <w:p w:rsidR="00DD4FC4" w:rsidRPr="00E20305" w:rsidRDefault="00DD4FC4" w:rsidP="00DD6962">
      <w:pPr>
        <w:pStyle w:val="Header"/>
        <w:tabs>
          <w:tab w:val="left" w:pos="1080"/>
        </w:tabs>
        <w:jc w:val="both"/>
        <w:rPr>
          <w:rFonts w:ascii="Times New Roman" w:hAnsi="Times New Roman"/>
          <w:sz w:val="24"/>
        </w:rPr>
      </w:pPr>
      <w:r w:rsidRPr="00E20305">
        <w:rPr>
          <w:rFonts w:ascii="Times New Roman" w:hAnsi="Times New Roman"/>
          <w:sz w:val="24"/>
        </w:rPr>
        <w:tab/>
        <w:t xml:space="preserve">Adult Protective Services Policy Unit  </w:t>
      </w:r>
    </w:p>
    <w:p w:rsidR="00DD4FC4" w:rsidRPr="00E20305" w:rsidRDefault="00DD4FC4" w:rsidP="00DD6962">
      <w:pPr>
        <w:pStyle w:val="Header"/>
        <w:tabs>
          <w:tab w:val="left" w:pos="720"/>
        </w:tabs>
        <w:jc w:val="both"/>
        <w:rPr>
          <w:rFonts w:ascii="Times New Roman" w:hAnsi="Times New Roman"/>
          <w:sz w:val="24"/>
        </w:rPr>
      </w:pPr>
    </w:p>
    <w:p w:rsidR="00BB1285" w:rsidRPr="00E20305" w:rsidRDefault="00C917FB" w:rsidP="00DD6962">
      <w:pPr>
        <w:pStyle w:val="Header"/>
        <w:tabs>
          <w:tab w:val="clear" w:pos="4320"/>
          <w:tab w:val="clear" w:pos="8640"/>
        </w:tabs>
        <w:ind w:left="1080" w:hanging="1080"/>
        <w:jc w:val="both"/>
        <w:rPr>
          <w:rFonts w:ascii="Times New Roman" w:hAnsi="Times New Roman"/>
          <w:sz w:val="24"/>
        </w:rPr>
      </w:pPr>
      <w:r w:rsidRPr="00E20305">
        <w:rPr>
          <w:rFonts w:ascii="Times New Roman" w:hAnsi="Times New Roman"/>
          <w:sz w:val="24"/>
        </w:rPr>
        <w:t>Subject</w:t>
      </w:r>
      <w:r w:rsidR="000002A3" w:rsidRPr="00E20305">
        <w:rPr>
          <w:rFonts w:ascii="Times New Roman" w:hAnsi="Times New Roman"/>
          <w:sz w:val="24"/>
        </w:rPr>
        <w:t xml:space="preserve">:  </w:t>
      </w:r>
      <w:r w:rsidR="00934CDA" w:rsidRPr="00E20305">
        <w:rPr>
          <w:rFonts w:ascii="Times New Roman" w:hAnsi="Times New Roman"/>
          <w:sz w:val="24"/>
        </w:rPr>
        <w:t xml:space="preserve">Adult Protective Services </w:t>
      </w:r>
      <w:r w:rsidR="00C41F74" w:rsidRPr="00E20305">
        <w:rPr>
          <w:rFonts w:ascii="Times New Roman" w:hAnsi="Times New Roman"/>
          <w:sz w:val="24"/>
        </w:rPr>
        <w:t xml:space="preserve">Intake and Classification </w:t>
      </w:r>
      <w:r w:rsidR="00E20305">
        <w:rPr>
          <w:rFonts w:ascii="Times New Roman" w:hAnsi="Times New Roman"/>
          <w:sz w:val="24"/>
        </w:rPr>
        <w:t xml:space="preserve">Policy </w:t>
      </w:r>
      <w:r w:rsidR="00C41F74" w:rsidRPr="00E20305">
        <w:rPr>
          <w:rFonts w:ascii="Times New Roman" w:hAnsi="Times New Roman"/>
          <w:sz w:val="24"/>
        </w:rPr>
        <w:t>Update</w:t>
      </w:r>
    </w:p>
    <w:p w:rsidR="00BB1285" w:rsidRPr="00E20305" w:rsidRDefault="00BB1285" w:rsidP="00DD6962">
      <w:pPr>
        <w:pStyle w:val="Header"/>
        <w:tabs>
          <w:tab w:val="left" w:pos="720"/>
        </w:tabs>
        <w:jc w:val="both"/>
        <w:rPr>
          <w:rFonts w:ascii="Times New Roman" w:hAnsi="Times New Roman"/>
          <w:sz w:val="24"/>
        </w:rPr>
      </w:pPr>
    </w:p>
    <w:p w:rsidR="00BE7E1D" w:rsidRDefault="003B4BEF" w:rsidP="007B57D3">
      <w:pPr>
        <w:jc w:val="both"/>
        <w:rPr>
          <w:rFonts w:ascii="Times New Roman" w:hAnsi="Times New Roman"/>
          <w:sz w:val="24"/>
        </w:rPr>
      </w:pPr>
      <w:r w:rsidRPr="00E20305">
        <w:rPr>
          <w:rFonts w:ascii="Times New Roman" w:hAnsi="Times New Roman"/>
          <w:sz w:val="24"/>
        </w:rPr>
        <w:t xml:space="preserve">Enhancements to the Adult Protective Services (APS) </w:t>
      </w:r>
      <w:r w:rsidR="00E20305">
        <w:rPr>
          <w:rFonts w:ascii="Times New Roman" w:hAnsi="Times New Roman"/>
          <w:sz w:val="24"/>
        </w:rPr>
        <w:t xml:space="preserve">Policy </w:t>
      </w:r>
      <w:r w:rsidRPr="00E20305">
        <w:rPr>
          <w:rFonts w:ascii="Times New Roman" w:hAnsi="Times New Roman"/>
          <w:sz w:val="24"/>
        </w:rPr>
        <w:t xml:space="preserve">Manual have been made </w:t>
      </w:r>
      <w:r w:rsidR="00BE7E1D" w:rsidRPr="00E20305">
        <w:rPr>
          <w:rFonts w:ascii="Times New Roman" w:hAnsi="Times New Roman"/>
          <w:sz w:val="24"/>
        </w:rPr>
        <w:t xml:space="preserve">to </w:t>
      </w:r>
      <w:r w:rsidR="0006511E" w:rsidRPr="00E20305">
        <w:rPr>
          <w:rFonts w:ascii="Times New Roman" w:hAnsi="Times New Roman"/>
          <w:sz w:val="24"/>
        </w:rPr>
        <w:t>clarify</w:t>
      </w:r>
      <w:r w:rsidR="00BE7E1D" w:rsidRPr="00E20305">
        <w:rPr>
          <w:rFonts w:ascii="Times New Roman" w:hAnsi="Times New Roman"/>
          <w:sz w:val="24"/>
        </w:rPr>
        <w:t xml:space="preserve"> current practices.  The following information has been added to the policy: </w:t>
      </w:r>
    </w:p>
    <w:p w:rsidR="00E20305" w:rsidRPr="00E20305" w:rsidRDefault="00E20305" w:rsidP="007B57D3">
      <w:pPr>
        <w:jc w:val="both"/>
        <w:rPr>
          <w:rFonts w:ascii="Times New Roman" w:hAnsi="Times New Roman"/>
          <w:sz w:val="24"/>
        </w:rPr>
      </w:pPr>
    </w:p>
    <w:p w:rsidR="00BE7E1D" w:rsidRPr="00E20305" w:rsidRDefault="00E20305" w:rsidP="007B57D3">
      <w:pPr>
        <w:jc w:val="both"/>
        <w:rPr>
          <w:rFonts w:ascii="Times New Roman" w:hAnsi="Times New Roman"/>
          <w:b/>
          <w:i/>
          <w:sz w:val="24"/>
        </w:rPr>
      </w:pPr>
      <w:r>
        <w:rPr>
          <w:rFonts w:ascii="Times New Roman" w:hAnsi="Times New Roman"/>
          <w:b/>
          <w:i/>
          <w:sz w:val="24"/>
        </w:rPr>
        <w:t xml:space="preserve">Anonymous Reporters and </w:t>
      </w:r>
      <w:r w:rsidRPr="00E20305">
        <w:rPr>
          <w:rFonts w:ascii="Times New Roman" w:hAnsi="Times New Roman"/>
          <w:b/>
          <w:i/>
          <w:sz w:val="24"/>
        </w:rPr>
        <w:t>Safety</w:t>
      </w:r>
      <w:r>
        <w:rPr>
          <w:rFonts w:ascii="Times New Roman" w:hAnsi="Times New Roman"/>
          <w:b/>
          <w:i/>
          <w:sz w:val="24"/>
        </w:rPr>
        <w:t xml:space="preserve"> Questions:</w:t>
      </w:r>
    </w:p>
    <w:p w:rsidR="00E20305" w:rsidRDefault="00BE7E1D" w:rsidP="00BE7E1D">
      <w:pPr>
        <w:numPr>
          <w:ilvl w:val="0"/>
          <w:numId w:val="20"/>
        </w:numPr>
        <w:jc w:val="both"/>
        <w:rPr>
          <w:rFonts w:ascii="Times New Roman" w:hAnsi="Times New Roman"/>
          <w:sz w:val="24"/>
        </w:rPr>
      </w:pPr>
      <w:r w:rsidRPr="00E20305">
        <w:rPr>
          <w:rFonts w:ascii="Times New Roman" w:hAnsi="Times New Roman"/>
          <w:sz w:val="24"/>
        </w:rPr>
        <w:t xml:space="preserve">If the reporter </w:t>
      </w:r>
      <w:r w:rsidR="00E20305">
        <w:rPr>
          <w:rFonts w:ascii="Times New Roman" w:hAnsi="Times New Roman"/>
          <w:sz w:val="24"/>
        </w:rPr>
        <w:t>provide</w:t>
      </w:r>
      <w:r w:rsidR="00001049">
        <w:rPr>
          <w:rFonts w:ascii="Times New Roman" w:hAnsi="Times New Roman"/>
          <w:sz w:val="24"/>
        </w:rPr>
        <w:t>s</w:t>
      </w:r>
      <w:r w:rsidR="00E20305">
        <w:rPr>
          <w:rFonts w:ascii="Times New Roman" w:hAnsi="Times New Roman"/>
          <w:sz w:val="24"/>
        </w:rPr>
        <w:t xml:space="preserve"> their</w:t>
      </w:r>
      <w:r w:rsidRPr="00E20305">
        <w:rPr>
          <w:rFonts w:ascii="Times New Roman" w:hAnsi="Times New Roman"/>
          <w:sz w:val="24"/>
        </w:rPr>
        <w:t xml:space="preserve"> information, </w:t>
      </w:r>
      <w:r w:rsidR="00E20305">
        <w:rPr>
          <w:rFonts w:ascii="Times New Roman" w:hAnsi="Times New Roman"/>
          <w:sz w:val="24"/>
        </w:rPr>
        <w:t>intake staff</w:t>
      </w:r>
      <w:r w:rsidRPr="00E20305">
        <w:rPr>
          <w:rFonts w:ascii="Times New Roman" w:hAnsi="Times New Roman"/>
          <w:sz w:val="24"/>
        </w:rPr>
        <w:t xml:space="preserve"> shall ask the reporter if there is anybody or anything dangerous at the address.  </w:t>
      </w:r>
    </w:p>
    <w:p w:rsidR="00BE7E1D" w:rsidRPr="00E20305" w:rsidRDefault="00BE7E1D" w:rsidP="00BE7E1D">
      <w:pPr>
        <w:numPr>
          <w:ilvl w:val="0"/>
          <w:numId w:val="20"/>
        </w:numPr>
        <w:jc w:val="both"/>
        <w:rPr>
          <w:rFonts w:ascii="Times New Roman" w:hAnsi="Times New Roman"/>
          <w:sz w:val="24"/>
        </w:rPr>
      </w:pPr>
      <w:r w:rsidRPr="00E20305">
        <w:rPr>
          <w:rFonts w:ascii="Times New Roman" w:hAnsi="Times New Roman"/>
          <w:sz w:val="24"/>
        </w:rPr>
        <w:t xml:space="preserve">If the reporter is anonymous, intake staff shall </w:t>
      </w:r>
      <w:r w:rsidR="00001049">
        <w:rPr>
          <w:rFonts w:ascii="Times New Roman" w:hAnsi="Times New Roman"/>
          <w:sz w:val="24"/>
        </w:rPr>
        <w:t xml:space="preserve">ask </w:t>
      </w:r>
      <w:r w:rsidRPr="00E20305">
        <w:rPr>
          <w:rFonts w:ascii="Times New Roman" w:hAnsi="Times New Roman"/>
          <w:sz w:val="24"/>
        </w:rPr>
        <w:t>additional safety questions to identify potential dangers in the home or threats to the assigned staff’s safety</w:t>
      </w:r>
    </w:p>
    <w:p w:rsidR="00E20305" w:rsidRDefault="00E20305" w:rsidP="00E20305">
      <w:pPr>
        <w:jc w:val="both"/>
        <w:rPr>
          <w:rFonts w:ascii="Times New Roman" w:hAnsi="Times New Roman"/>
          <w:b/>
          <w:i/>
          <w:sz w:val="24"/>
        </w:rPr>
      </w:pPr>
    </w:p>
    <w:p w:rsidR="00BE7E1D" w:rsidRPr="00E20305" w:rsidRDefault="00E20305" w:rsidP="00E20305">
      <w:pPr>
        <w:jc w:val="both"/>
        <w:rPr>
          <w:rFonts w:ascii="Times New Roman" w:hAnsi="Times New Roman"/>
          <w:b/>
          <w:i/>
          <w:sz w:val="24"/>
        </w:rPr>
      </w:pPr>
      <w:r>
        <w:rPr>
          <w:rFonts w:ascii="Times New Roman" w:hAnsi="Times New Roman"/>
          <w:b/>
          <w:i/>
          <w:sz w:val="24"/>
        </w:rPr>
        <w:t>Only one Reported Adult per Report</w:t>
      </w:r>
    </w:p>
    <w:p w:rsidR="00BE7E1D" w:rsidRPr="00E20305" w:rsidRDefault="00BE7E1D" w:rsidP="00BE7E1D">
      <w:pPr>
        <w:pStyle w:val="Header"/>
        <w:numPr>
          <w:ilvl w:val="0"/>
          <w:numId w:val="20"/>
        </w:numPr>
        <w:tabs>
          <w:tab w:val="clear" w:pos="4320"/>
          <w:tab w:val="clear" w:pos="8640"/>
        </w:tabs>
        <w:jc w:val="both"/>
        <w:rPr>
          <w:rFonts w:ascii="Times New Roman" w:eastAsia="Calibri" w:hAnsi="Times New Roman"/>
          <w:sz w:val="24"/>
        </w:rPr>
      </w:pPr>
      <w:r w:rsidRPr="00E20305">
        <w:rPr>
          <w:rFonts w:ascii="Times New Roman" w:hAnsi="Times New Roman"/>
          <w:sz w:val="24"/>
        </w:rPr>
        <w:t>There can only be one eligible adult listed on a report.  If additional eligible adults are identified during the course of the investigation, a separate report shall be created for each.</w:t>
      </w:r>
    </w:p>
    <w:p w:rsidR="00E20305" w:rsidRPr="00E20305" w:rsidRDefault="00E20305" w:rsidP="00E20305">
      <w:pPr>
        <w:pStyle w:val="Header"/>
        <w:tabs>
          <w:tab w:val="clear" w:pos="4320"/>
          <w:tab w:val="clear" w:pos="8640"/>
        </w:tabs>
        <w:ind w:left="720"/>
        <w:jc w:val="both"/>
        <w:rPr>
          <w:rFonts w:ascii="Times New Roman" w:eastAsia="Calibri" w:hAnsi="Times New Roman"/>
          <w:sz w:val="24"/>
        </w:rPr>
      </w:pPr>
    </w:p>
    <w:p w:rsidR="00E20305" w:rsidRPr="00E20305" w:rsidRDefault="00E20305" w:rsidP="00E20305">
      <w:pPr>
        <w:pStyle w:val="ListParagraph"/>
        <w:ind w:left="0"/>
        <w:rPr>
          <w:rFonts w:eastAsia="Calibri"/>
          <w:b/>
          <w:i/>
        </w:rPr>
      </w:pPr>
      <w:r>
        <w:rPr>
          <w:rFonts w:eastAsia="Calibri"/>
          <w:b/>
          <w:i/>
        </w:rPr>
        <w:t>Use of EDL Subtype</w:t>
      </w:r>
    </w:p>
    <w:p w:rsidR="00BE7E1D" w:rsidRPr="00E20305" w:rsidRDefault="00BE7E1D" w:rsidP="00BE7E1D">
      <w:pPr>
        <w:pStyle w:val="Header"/>
        <w:numPr>
          <w:ilvl w:val="0"/>
          <w:numId w:val="20"/>
        </w:numPr>
        <w:tabs>
          <w:tab w:val="clear" w:pos="4320"/>
          <w:tab w:val="clear" w:pos="8640"/>
        </w:tabs>
        <w:jc w:val="both"/>
        <w:rPr>
          <w:rFonts w:ascii="Times New Roman" w:eastAsia="Calibri" w:hAnsi="Times New Roman"/>
          <w:sz w:val="24"/>
        </w:rPr>
      </w:pPr>
      <w:r w:rsidRPr="00E20305">
        <w:rPr>
          <w:rFonts w:ascii="Times New Roman" w:hAnsi="Times New Roman"/>
          <w:sz w:val="24"/>
        </w:rPr>
        <w:t xml:space="preserve">All Class I and Class II reports will be initially routed to PS staff using the location where the Eligible Adult will be for the next 24 hours (EDL and suspicious death reports go directly to SIU).  </w:t>
      </w:r>
    </w:p>
    <w:p w:rsidR="00BE7E1D" w:rsidRPr="0006511E" w:rsidRDefault="00BE7E1D" w:rsidP="00BE7E1D">
      <w:pPr>
        <w:ind w:left="720"/>
        <w:jc w:val="both"/>
        <w:rPr>
          <w:rFonts w:ascii="Times New Roman" w:hAnsi="Times New Roman"/>
          <w:szCs w:val="20"/>
        </w:rPr>
      </w:pPr>
    </w:p>
    <w:p w:rsidR="007E504F" w:rsidRPr="00934CDA" w:rsidRDefault="007E504F" w:rsidP="007E504F">
      <w:pPr>
        <w:pStyle w:val="Header"/>
        <w:pBdr>
          <w:top w:val="single" w:sz="4" w:space="1" w:color="auto"/>
          <w:left w:val="single" w:sz="4" w:space="4" w:color="auto"/>
          <w:bottom w:val="single" w:sz="4" w:space="0" w:color="auto"/>
          <w:right w:val="single" w:sz="4" w:space="4" w:color="auto"/>
        </w:pBdr>
        <w:spacing w:after="120"/>
        <w:jc w:val="both"/>
        <w:rPr>
          <w:rFonts w:ascii="Times New Roman" w:hAnsi="Times New Roman"/>
          <w:b/>
          <w:sz w:val="24"/>
        </w:rPr>
      </w:pPr>
      <w:r w:rsidRPr="00934CDA">
        <w:rPr>
          <w:rFonts w:ascii="Times New Roman" w:hAnsi="Times New Roman"/>
          <w:b/>
          <w:sz w:val="24"/>
        </w:rPr>
        <w:t>NECESSARY ACTION:</w:t>
      </w:r>
    </w:p>
    <w:p w:rsidR="007E504F" w:rsidRPr="0074201A" w:rsidRDefault="007E504F" w:rsidP="007E504F">
      <w:pPr>
        <w:pStyle w:val="Header"/>
        <w:numPr>
          <w:ilvl w:val="0"/>
          <w:numId w:val="6"/>
        </w:numPr>
        <w:pBdr>
          <w:top w:val="single" w:sz="4" w:space="1" w:color="auto"/>
          <w:left w:val="single" w:sz="4" w:space="4" w:color="auto"/>
          <w:bottom w:val="single" w:sz="4" w:space="0" w:color="auto"/>
          <w:right w:val="single" w:sz="4" w:space="4" w:color="auto"/>
        </w:pBdr>
        <w:tabs>
          <w:tab w:val="clear" w:pos="4320"/>
          <w:tab w:val="clear" w:pos="8640"/>
        </w:tabs>
        <w:spacing w:after="120"/>
        <w:jc w:val="both"/>
        <w:rPr>
          <w:rFonts w:ascii="Times New Roman" w:hAnsi="Times New Roman"/>
          <w:sz w:val="24"/>
        </w:rPr>
      </w:pPr>
      <w:r w:rsidRPr="0074201A">
        <w:rPr>
          <w:rFonts w:ascii="Times New Roman" w:hAnsi="Times New Roman"/>
          <w:sz w:val="24"/>
        </w:rPr>
        <w:t xml:space="preserve">Review this memorandum </w:t>
      </w:r>
      <w:r w:rsidR="00C41F74">
        <w:rPr>
          <w:rFonts w:ascii="Times New Roman" w:hAnsi="Times New Roman"/>
          <w:sz w:val="24"/>
        </w:rPr>
        <w:t xml:space="preserve">and </w:t>
      </w:r>
      <w:r w:rsidR="00C41F74" w:rsidRPr="00BE7E1D">
        <w:rPr>
          <w:rFonts w:ascii="Times New Roman" w:hAnsi="Times New Roman"/>
          <w:sz w:val="24"/>
        </w:rPr>
        <w:t xml:space="preserve">revised APS Policy 1702.00: Intake and Classification </w:t>
      </w:r>
      <w:r w:rsidRPr="0074201A">
        <w:rPr>
          <w:rFonts w:ascii="Times New Roman" w:hAnsi="Times New Roman"/>
          <w:sz w:val="24"/>
        </w:rPr>
        <w:t xml:space="preserve">with all staff. </w:t>
      </w:r>
    </w:p>
    <w:p w:rsidR="007E504F" w:rsidRPr="00BE7E1D" w:rsidRDefault="003209A5" w:rsidP="00BE7E1D">
      <w:pPr>
        <w:pStyle w:val="Header"/>
        <w:numPr>
          <w:ilvl w:val="0"/>
          <w:numId w:val="6"/>
        </w:numPr>
        <w:pBdr>
          <w:top w:val="single" w:sz="4" w:space="1" w:color="auto"/>
          <w:left w:val="single" w:sz="4" w:space="4" w:color="auto"/>
          <w:bottom w:val="single" w:sz="4" w:space="0" w:color="auto"/>
          <w:right w:val="single" w:sz="4" w:space="4" w:color="auto"/>
        </w:pBdr>
        <w:tabs>
          <w:tab w:val="clear" w:pos="4320"/>
          <w:tab w:val="clear" w:pos="8640"/>
        </w:tabs>
        <w:spacing w:after="120"/>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413385</wp:posOffset>
                </wp:positionV>
                <wp:extent cx="6065520" cy="22860"/>
                <wp:effectExtent l="13335" t="13335" r="7620"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5520" cy="22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DE54A" id="_x0000_t32" coordsize="21600,21600" o:spt="32" o:oned="t" path="m,l21600,21600e" filled="f">
                <v:path arrowok="t" fillok="f" o:connecttype="none"/>
                <o:lock v:ext="edit" shapetype="t"/>
              </v:shapetype>
              <v:shape id="AutoShape 4" o:spid="_x0000_s1026" type="#_x0000_t32" style="position:absolute;margin-left:-4.2pt;margin-top:32.55pt;width:477.6pt;height:1.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"/>
            </w:pict>
          </mc:Fallback>
        </mc:AlternateContent>
      </w:r>
      <w:r w:rsidR="007E504F" w:rsidRPr="00BE7E1D">
        <w:rPr>
          <w:rFonts w:ascii="Times New Roman" w:hAnsi="Times New Roman"/>
          <w:sz w:val="24"/>
        </w:rPr>
        <w:t xml:space="preserve">All questions should be cleared through normal supervisory channels and directed to: Michelle Humphrey at </w:t>
      </w:r>
      <w:hyperlink r:id="rId9" w:history="1">
        <w:r w:rsidR="007E504F" w:rsidRPr="00BE7E1D">
          <w:rPr>
            <w:rStyle w:val="Hyperlink"/>
            <w:rFonts w:ascii="Times New Roman" w:hAnsi="Times New Roman"/>
            <w:sz w:val="24"/>
          </w:rPr>
          <w:t>APSPolicy@health.mo.gov</w:t>
        </w:r>
      </w:hyperlink>
      <w:r w:rsidR="007E504F" w:rsidRPr="00BE7E1D">
        <w:rPr>
          <w:rFonts w:ascii="Times New Roman" w:hAnsi="Times New Roman"/>
          <w:sz w:val="24"/>
        </w:rPr>
        <w:t xml:space="preserve"> or by calling 573-526-8502.</w:t>
      </w:r>
    </w:p>
    <w:p w:rsidR="007E504F" w:rsidRPr="00934CDA" w:rsidRDefault="007E504F" w:rsidP="007E504F">
      <w:pPr>
        <w:pStyle w:val="Header"/>
        <w:pBdr>
          <w:top w:val="single" w:sz="4" w:space="1" w:color="auto"/>
          <w:left w:val="single" w:sz="4" w:space="4" w:color="auto"/>
          <w:bottom w:val="single" w:sz="4" w:space="0" w:color="auto"/>
          <w:right w:val="single" w:sz="4" w:space="4" w:color="auto"/>
        </w:pBdr>
        <w:spacing w:after="120"/>
        <w:jc w:val="both"/>
        <w:rPr>
          <w:rFonts w:ascii="Times New Roman" w:hAnsi="Times New Roman"/>
          <w:b/>
          <w:sz w:val="24"/>
        </w:rPr>
      </w:pPr>
      <w:r w:rsidRPr="00934CDA">
        <w:rPr>
          <w:rFonts w:ascii="Times New Roman" w:hAnsi="Times New Roman"/>
          <w:b/>
          <w:sz w:val="24"/>
        </w:rPr>
        <w:t>APS Manual Revisions:</w:t>
      </w:r>
    </w:p>
    <w:p w:rsidR="007E504F" w:rsidRDefault="00E20305" w:rsidP="007E504F">
      <w:pPr>
        <w:pStyle w:val="Header"/>
        <w:pBdr>
          <w:top w:val="single" w:sz="4" w:space="1" w:color="auto"/>
          <w:left w:val="single" w:sz="4" w:space="4" w:color="auto"/>
          <w:bottom w:val="single" w:sz="4" w:space="0" w:color="auto"/>
          <w:right w:val="single" w:sz="4" w:space="4" w:color="auto"/>
        </w:pBdr>
        <w:spacing w:after="120"/>
        <w:jc w:val="both"/>
        <w:rPr>
          <w:rFonts w:ascii="Times New Roman" w:hAnsi="Times New Roman"/>
          <w:sz w:val="24"/>
        </w:rPr>
      </w:pPr>
      <w:hyperlink r:id="rId10" w:history="1">
        <w:r w:rsidR="007E504F" w:rsidRPr="00E20305">
          <w:rPr>
            <w:rStyle w:val="Hyperlink"/>
            <w:rFonts w:ascii="Times New Roman" w:hAnsi="Times New Roman"/>
            <w:sz w:val="24"/>
          </w:rPr>
          <w:t>APS Policy 1702.00: I</w:t>
        </w:r>
        <w:r w:rsidRPr="00E20305">
          <w:rPr>
            <w:rStyle w:val="Hyperlink"/>
            <w:rFonts w:ascii="Times New Roman" w:hAnsi="Times New Roman"/>
            <w:sz w:val="24"/>
          </w:rPr>
          <w:t>ntake and Classification</w:t>
        </w:r>
      </w:hyperlink>
      <w:r w:rsidR="007E504F" w:rsidRPr="0074201A">
        <w:rPr>
          <w:rFonts w:ascii="Times New Roman" w:hAnsi="Times New Roman"/>
          <w:sz w:val="24"/>
        </w:rPr>
        <w:t xml:space="preserve"> –</w:t>
      </w:r>
      <w:r w:rsidR="00BE7E1D">
        <w:rPr>
          <w:rFonts w:ascii="Times New Roman" w:hAnsi="Times New Roman"/>
          <w:sz w:val="24"/>
        </w:rPr>
        <w:t xml:space="preserve"> </w:t>
      </w:r>
      <w:r w:rsidR="00C41F74">
        <w:rPr>
          <w:rFonts w:ascii="Times New Roman" w:hAnsi="Times New Roman"/>
          <w:sz w:val="24"/>
        </w:rPr>
        <w:t>Updated</w:t>
      </w:r>
    </w:p>
    <w:sectPr w:rsidR="007E504F" w:rsidSect="008249B9">
      <w:headerReference w:type="even" r:id="rId11"/>
      <w:headerReference w:type="default" r:id="rId12"/>
      <w:footerReference w:type="default" r:id="rId13"/>
      <w:headerReference w:type="first" r:id="rId14"/>
      <w:footerReference w:type="first" r:id="rId15"/>
      <w:pgSz w:w="12240" w:h="15840" w:code="1"/>
      <w:pgMar w:top="374" w:right="1440" w:bottom="720" w:left="144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35" w:rsidRDefault="00433135">
      <w:r>
        <w:separator/>
      </w:r>
    </w:p>
  </w:endnote>
  <w:endnote w:type="continuationSeparator" w:id="0">
    <w:p w:rsidR="00433135" w:rsidRDefault="0043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DD" w:rsidRDefault="005D14DD">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4DD" w:rsidRDefault="005D14DD">
    <w:pPr>
      <w:pStyle w:val="Footer"/>
      <w:tabs>
        <w:tab w:val="clear" w:pos="4320"/>
        <w:tab w:val="center" w:pos="4680"/>
      </w:tabs>
      <w:jc w:val="center"/>
      <w:rPr>
        <w:b/>
        <w:bCs/>
        <w:sz w:val="14"/>
      </w:rPr>
    </w:pPr>
    <w:hyperlink r:id="rId1" w:history="1">
      <w:r w:rsidRPr="00897438">
        <w:rPr>
          <w:rStyle w:val="Hyperlink"/>
          <w:b/>
          <w:bCs/>
          <w:sz w:val="14"/>
        </w:rPr>
        <w:t>www.health.mo.gov</w:t>
      </w:r>
    </w:hyperlink>
  </w:p>
  <w:p w:rsidR="005D14DD" w:rsidRDefault="005D14DD">
    <w:pPr>
      <w:pStyle w:val="Footer"/>
      <w:tabs>
        <w:tab w:val="clear" w:pos="4320"/>
        <w:tab w:val="center" w:pos="4680"/>
      </w:tabs>
      <w:jc w:val="center"/>
      <w:rPr>
        <w:b/>
        <w:bCs/>
        <w:sz w:val="14"/>
      </w:rPr>
    </w:pPr>
  </w:p>
  <w:p w:rsidR="005D14DD" w:rsidRDefault="005D14DD">
    <w:pPr>
      <w:pStyle w:val="Footer"/>
      <w:tabs>
        <w:tab w:val="clear" w:pos="4320"/>
        <w:tab w:val="center" w:pos="4680"/>
      </w:tabs>
      <w:jc w:val="center"/>
      <w:rPr>
        <w:b/>
        <w:bCs/>
        <w:sz w:val="14"/>
      </w:rPr>
    </w:pPr>
    <w:r>
      <w:rPr>
        <w:b/>
        <w:bCs/>
        <w:sz w:val="14"/>
      </w:rPr>
      <w:t>Healthy Missourians for life.</w:t>
    </w:r>
  </w:p>
  <w:p w:rsidR="005D14DD" w:rsidRDefault="005D14DD">
    <w:pPr>
      <w:pStyle w:val="Footer"/>
      <w:tabs>
        <w:tab w:val="clear" w:pos="4320"/>
        <w:tab w:val="center" w:pos="4680"/>
      </w:tabs>
      <w:jc w:val="center"/>
      <w:rPr>
        <w:b/>
        <w:bCs/>
        <w:sz w:val="14"/>
      </w:rPr>
    </w:pPr>
  </w:p>
  <w:p w:rsidR="005D14DD" w:rsidRDefault="005D14DD">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5D14DD" w:rsidRDefault="005D14DD">
    <w:pPr>
      <w:pStyle w:val="Footer"/>
      <w:tabs>
        <w:tab w:val="clear" w:pos="4320"/>
        <w:tab w:val="center" w:pos="4680"/>
      </w:tabs>
      <w:jc w:val="center"/>
      <w:rPr>
        <w:sz w:val="15"/>
      </w:rPr>
    </w:pPr>
  </w:p>
  <w:p w:rsidR="005D14DD" w:rsidRDefault="005D14DD">
    <w:pPr>
      <w:pStyle w:val="Footer"/>
      <w:tabs>
        <w:tab w:val="clear" w:pos="4320"/>
        <w:tab w:val="center" w:pos="4680"/>
      </w:tabs>
      <w:jc w:val="center"/>
      <w:rPr>
        <w:sz w:val="4"/>
      </w:rPr>
    </w:pPr>
  </w:p>
  <w:p w:rsidR="005D14DD" w:rsidRDefault="005D14DD">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5D14DD" w:rsidRDefault="005D1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35" w:rsidRDefault="00433135">
      <w:r>
        <w:separator/>
      </w:r>
    </w:p>
  </w:footnote>
  <w:footnote w:type="continuationSeparator" w:id="0">
    <w:p w:rsidR="00433135" w:rsidRDefault="0043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20" w:rsidRDefault="00675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20" w:rsidRDefault="00675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6588"/>
      <w:gridCol w:w="2160"/>
    </w:tblGrid>
    <w:tr w:rsidR="005D14DD" w:rsidTr="000B4BAD">
      <w:trPr>
        <w:cantSplit/>
        <w:trHeight w:val="706"/>
      </w:trPr>
      <w:tc>
        <w:tcPr>
          <w:tcW w:w="1602" w:type="dxa"/>
          <w:vMerge w:val="restart"/>
          <w:tcBorders>
            <w:top w:val="nil"/>
            <w:left w:val="nil"/>
            <w:bottom w:val="single" w:sz="4" w:space="0" w:color="auto"/>
            <w:right w:val="nil"/>
          </w:tcBorders>
        </w:tcPr>
        <w:p w:rsidR="005D14DD" w:rsidRDefault="003209A5">
          <w:pPr>
            <w:pStyle w:val="Header"/>
            <w:ind w:hanging="156"/>
          </w:pPr>
          <w:r w:rsidRPr="0054502E">
            <w:rPr>
              <w:noProof/>
            </w:rPr>
            <w:drawing>
              <wp:inline distT="0" distB="0" distL="0" distR="0">
                <wp:extent cx="857250" cy="723900"/>
                <wp:effectExtent l="0" t="0" r="0" b="0"/>
                <wp:docPr id="1"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c>
      <w:tc>
        <w:tcPr>
          <w:tcW w:w="6588" w:type="dxa"/>
          <w:tcBorders>
            <w:top w:val="nil"/>
            <w:left w:val="nil"/>
            <w:bottom w:val="single" w:sz="4" w:space="0" w:color="auto"/>
            <w:right w:val="nil"/>
          </w:tcBorders>
          <w:vAlign w:val="center"/>
        </w:tcPr>
        <w:p w:rsidR="005D14DD" w:rsidRDefault="005D14DD" w:rsidP="00FF4495">
          <w:pPr>
            <w:pStyle w:val="Header"/>
            <w:ind w:right="-108" w:hanging="108"/>
            <w:rPr>
              <w:rFonts w:ascii="Arial Narrow" w:hAnsi="Arial Narrow" w:cs="Arial"/>
              <w:b/>
              <w:bCs/>
              <w:sz w:val="30"/>
            </w:rPr>
          </w:pPr>
        </w:p>
        <w:p w:rsidR="005D14DD" w:rsidRDefault="005D14DD">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5D14DD" w:rsidRDefault="005D14DD">
          <w:pPr>
            <w:pStyle w:val="Header"/>
            <w:ind w:hanging="108"/>
            <w:rPr>
              <w:rFonts w:cs="Arial"/>
              <w:sz w:val="15"/>
            </w:rPr>
          </w:pPr>
          <w:r>
            <w:rPr>
              <w:rFonts w:cs="Arial"/>
              <w:sz w:val="15"/>
            </w:rPr>
            <w:t>P.O. Box 570, Jefferson City, MO 65102-0570     Phone: 573-751-6400     FAX: 573-751-6010</w:t>
          </w:r>
        </w:p>
        <w:p w:rsidR="005D14DD" w:rsidRDefault="005D14DD">
          <w:pPr>
            <w:pStyle w:val="Header"/>
            <w:ind w:hanging="108"/>
            <w:rPr>
              <w:rFonts w:cs="Arial"/>
              <w:sz w:val="15"/>
            </w:rPr>
          </w:pPr>
          <w:r>
            <w:rPr>
              <w:rFonts w:cs="Arial"/>
              <w:sz w:val="15"/>
            </w:rPr>
            <w:t>RELAY MISSOURI for Hearing and Speech Impaired 1-800-735-2966   VOICE 1-800-735-2466</w:t>
          </w:r>
        </w:p>
      </w:tc>
      <w:tc>
        <w:tcPr>
          <w:tcW w:w="2160" w:type="dxa"/>
          <w:tcBorders>
            <w:top w:val="nil"/>
            <w:left w:val="nil"/>
            <w:bottom w:val="single" w:sz="4" w:space="0" w:color="auto"/>
            <w:right w:val="nil"/>
          </w:tcBorders>
          <w:vAlign w:val="center"/>
        </w:tcPr>
        <w:p w:rsidR="005D14DD" w:rsidRDefault="003209A5">
          <w:pPr>
            <w:pStyle w:val="Header"/>
            <w:ind w:right="-108" w:hanging="108"/>
            <w:jc w:val="center"/>
            <w:rPr>
              <w:rFonts w:cs="Arial"/>
            </w:rPr>
          </w:pPr>
          <w:r w:rsidRPr="00340D0C">
            <w:rPr>
              <w:rFonts w:cs="Arial"/>
              <w:b/>
              <w:noProof/>
            </w:rPr>
            <w:drawing>
              <wp:inline distT="0" distB="0" distL="0" distR="0">
                <wp:extent cx="552450" cy="56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tc>
    </w:tr>
    <w:tr w:rsidR="000B4BAD" w:rsidTr="000B4BAD">
      <w:trPr>
        <w:cantSplit/>
        <w:trHeight w:val="553"/>
      </w:trPr>
      <w:tc>
        <w:tcPr>
          <w:tcW w:w="1602" w:type="dxa"/>
          <w:vMerge/>
          <w:tcBorders>
            <w:top w:val="single" w:sz="4" w:space="0" w:color="auto"/>
            <w:left w:val="nil"/>
            <w:bottom w:val="nil"/>
            <w:right w:val="nil"/>
          </w:tcBorders>
        </w:tcPr>
        <w:p w:rsidR="000B4BAD" w:rsidRDefault="000B4BAD">
          <w:pPr>
            <w:pStyle w:val="Header"/>
          </w:pPr>
        </w:p>
      </w:tc>
      <w:tc>
        <w:tcPr>
          <w:tcW w:w="6588" w:type="dxa"/>
          <w:tcBorders>
            <w:top w:val="single" w:sz="4" w:space="0" w:color="auto"/>
            <w:left w:val="nil"/>
            <w:bottom w:val="nil"/>
            <w:right w:val="nil"/>
          </w:tcBorders>
        </w:tcPr>
        <w:p w:rsidR="000B4BAD" w:rsidRDefault="000B4BAD" w:rsidP="004056D0">
          <w:pPr>
            <w:pStyle w:val="Header"/>
            <w:ind w:hanging="108"/>
            <w:rPr>
              <w:b/>
              <w:bCs/>
              <w:sz w:val="4"/>
            </w:rPr>
          </w:pPr>
        </w:p>
        <w:p w:rsidR="000B4BAD" w:rsidRDefault="000B4BAD" w:rsidP="004056D0">
          <w:pPr>
            <w:pStyle w:val="Header"/>
            <w:ind w:hanging="108"/>
            <w:rPr>
              <w:b/>
              <w:sz w:val="16"/>
              <w:szCs w:val="16"/>
            </w:rPr>
          </w:pPr>
          <w:r>
            <w:rPr>
              <w:b/>
              <w:sz w:val="16"/>
              <w:szCs w:val="16"/>
            </w:rPr>
            <w:t>Randall W. Williams, MD, FACOG</w:t>
          </w:r>
        </w:p>
        <w:p w:rsidR="000B4BAD" w:rsidRPr="00932D40" w:rsidRDefault="000B4BAD" w:rsidP="004056D0">
          <w:pPr>
            <w:pStyle w:val="Header"/>
            <w:tabs>
              <w:tab w:val="clear" w:pos="4320"/>
              <w:tab w:val="clear" w:pos="8640"/>
              <w:tab w:val="left" w:pos="825"/>
            </w:tabs>
            <w:ind w:hanging="108"/>
            <w:rPr>
              <w:b/>
              <w:sz w:val="16"/>
              <w:szCs w:val="16"/>
            </w:rPr>
          </w:pPr>
          <w:r>
            <w:rPr>
              <w:sz w:val="14"/>
            </w:rPr>
            <w:t>Director</w:t>
          </w:r>
          <w:r>
            <w:rPr>
              <w:sz w:val="14"/>
            </w:rPr>
            <w:tab/>
          </w:r>
        </w:p>
      </w:tc>
      <w:tc>
        <w:tcPr>
          <w:tcW w:w="2160" w:type="dxa"/>
          <w:tcBorders>
            <w:top w:val="single" w:sz="4" w:space="0" w:color="auto"/>
            <w:left w:val="nil"/>
            <w:bottom w:val="nil"/>
            <w:right w:val="nil"/>
          </w:tcBorders>
        </w:tcPr>
        <w:p w:rsidR="000B4BAD" w:rsidRDefault="000B4BAD" w:rsidP="004056D0">
          <w:pPr>
            <w:pStyle w:val="Header"/>
            <w:jc w:val="center"/>
            <w:rPr>
              <w:b/>
              <w:bCs/>
              <w:sz w:val="4"/>
            </w:rPr>
          </w:pPr>
        </w:p>
        <w:p w:rsidR="000B4BAD" w:rsidRDefault="000B4BAD" w:rsidP="004056D0">
          <w:pPr>
            <w:pStyle w:val="Header"/>
            <w:ind w:left="-6" w:right="-288"/>
            <w:jc w:val="center"/>
            <w:rPr>
              <w:b/>
              <w:bCs/>
              <w:sz w:val="16"/>
            </w:rPr>
          </w:pPr>
          <w:r>
            <w:rPr>
              <w:b/>
              <w:bCs/>
              <w:sz w:val="16"/>
            </w:rPr>
            <w:t>Michael L. Parson</w:t>
          </w:r>
        </w:p>
        <w:p w:rsidR="000B4BAD" w:rsidRDefault="000B4BAD" w:rsidP="004056D0">
          <w:pPr>
            <w:pStyle w:val="Header"/>
            <w:jc w:val="center"/>
            <w:rPr>
              <w:sz w:val="14"/>
            </w:rPr>
          </w:pPr>
          <w:r>
            <w:rPr>
              <w:sz w:val="14"/>
            </w:rPr>
            <w:t xml:space="preserve">    Governor</w:t>
          </w:r>
        </w:p>
      </w:tc>
    </w:tr>
  </w:tbl>
  <w:p w:rsidR="005D14DD" w:rsidRDefault="005D1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7C2"/>
    <w:multiLevelType w:val="hybridMultilevel"/>
    <w:tmpl w:val="708ABF08"/>
    <w:lvl w:ilvl="0" w:tplc="04090019">
      <w:start w:val="1"/>
      <w:numFmt w:val="lowerLetter"/>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B4A36"/>
    <w:multiLevelType w:val="hybridMultilevel"/>
    <w:tmpl w:val="D66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08D9"/>
    <w:multiLevelType w:val="hybridMultilevel"/>
    <w:tmpl w:val="F7D2B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136267"/>
    <w:multiLevelType w:val="hybridMultilevel"/>
    <w:tmpl w:val="8BA0F4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70D6915"/>
    <w:multiLevelType w:val="hybridMultilevel"/>
    <w:tmpl w:val="D13A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C220D"/>
    <w:multiLevelType w:val="hybridMultilevel"/>
    <w:tmpl w:val="18DA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F0AEA"/>
    <w:multiLevelType w:val="hybridMultilevel"/>
    <w:tmpl w:val="B5DC2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7A02C2"/>
    <w:multiLevelType w:val="hybridMultilevel"/>
    <w:tmpl w:val="ADDC45CE"/>
    <w:lvl w:ilvl="0" w:tplc="7E18D78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0F3F5D"/>
    <w:multiLevelType w:val="hybridMultilevel"/>
    <w:tmpl w:val="7C4CD516"/>
    <w:lvl w:ilvl="0" w:tplc="0EDAF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810312"/>
    <w:multiLevelType w:val="hybridMultilevel"/>
    <w:tmpl w:val="C648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73DF0"/>
    <w:multiLevelType w:val="hybridMultilevel"/>
    <w:tmpl w:val="39A6E200"/>
    <w:lvl w:ilvl="0" w:tplc="96EECD1C">
      <w:start w:val="1"/>
      <w:numFmt w:val="decimal"/>
      <w:lvlText w:val="%1."/>
      <w:lvlJc w:val="left"/>
      <w:pPr>
        <w:ind w:left="1800" w:hanging="360"/>
      </w:pPr>
      <w:rPr>
        <w:rFonts w:cs="Arial"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AD34BCB"/>
    <w:multiLevelType w:val="hybridMultilevel"/>
    <w:tmpl w:val="9F089362"/>
    <w:lvl w:ilvl="0" w:tplc="B8A406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972FA"/>
    <w:multiLevelType w:val="hybridMultilevel"/>
    <w:tmpl w:val="6A7A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A7432"/>
    <w:multiLevelType w:val="hybridMultilevel"/>
    <w:tmpl w:val="96A0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424E8"/>
    <w:multiLevelType w:val="hybridMultilevel"/>
    <w:tmpl w:val="05AE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83045"/>
    <w:multiLevelType w:val="hybridMultilevel"/>
    <w:tmpl w:val="EA4E5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700411"/>
    <w:multiLevelType w:val="hybridMultilevel"/>
    <w:tmpl w:val="5AB4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2CF5"/>
    <w:multiLevelType w:val="hybridMultilevel"/>
    <w:tmpl w:val="3BD0038E"/>
    <w:lvl w:ilvl="0" w:tplc="2304B1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1162E9"/>
    <w:multiLevelType w:val="hybridMultilevel"/>
    <w:tmpl w:val="86A007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F9E17BF"/>
    <w:multiLevelType w:val="hybridMultilevel"/>
    <w:tmpl w:val="97A2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9"/>
  </w:num>
  <w:num w:numId="5">
    <w:abstractNumId w:val="11"/>
  </w:num>
  <w:num w:numId="6">
    <w:abstractNumId w:val="8"/>
  </w:num>
  <w:num w:numId="7">
    <w:abstractNumId w:val="13"/>
  </w:num>
  <w:num w:numId="8">
    <w:abstractNumId w:val="7"/>
  </w:num>
  <w:num w:numId="9">
    <w:abstractNumId w:val="17"/>
  </w:num>
  <w:num w:numId="10">
    <w:abstractNumId w:val="16"/>
  </w:num>
  <w:num w:numId="11">
    <w:abstractNumId w:val="19"/>
  </w:num>
  <w:num w:numId="12">
    <w:abstractNumId w:val="14"/>
  </w:num>
  <w:num w:numId="13">
    <w:abstractNumId w:val="10"/>
  </w:num>
  <w:num w:numId="14">
    <w:abstractNumId w:val="15"/>
  </w:num>
  <w:num w:numId="15">
    <w:abstractNumId w:val="6"/>
  </w:num>
  <w:num w:numId="16">
    <w:abstractNumId w:val="3"/>
  </w:num>
  <w:num w:numId="17">
    <w:abstractNumId w:val="0"/>
  </w:num>
  <w:num w:numId="18">
    <w:abstractNumId w:val="1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78"/>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A3"/>
    <w:rsid w:val="0000005C"/>
    <w:rsid w:val="000002A3"/>
    <w:rsid w:val="00001049"/>
    <w:rsid w:val="00010E55"/>
    <w:rsid w:val="00015AAA"/>
    <w:rsid w:val="00015E94"/>
    <w:rsid w:val="000232D3"/>
    <w:rsid w:val="000250FD"/>
    <w:rsid w:val="00031E44"/>
    <w:rsid w:val="00046BC0"/>
    <w:rsid w:val="00052AE5"/>
    <w:rsid w:val="00064045"/>
    <w:rsid w:val="0006511E"/>
    <w:rsid w:val="000656AC"/>
    <w:rsid w:val="0007076A"/>
    <w:rsid w:val="0008214E"/>
    <w:rsid w:val="000857DB"/>
    <w:rsid w:val="000958D7"/>
    <w:rsid w:val="0009619F"/>
    <w:rsid w:val="000966B6"/>
    <w:rsid w:val="000B4BAD"/>
    <w:rsid w:val="000C02E2"/>
    <w:rsid w:val="000C676B"/>
    <w:rsid w:val="000C7338"/>
    <w:rsid w:val="000D3F73"/>
    <w:rsid w:val="000F6DF4"/>
    <w:rsid w:val="00102DE5"/>
    <w:rsid w:val="001220F9"/>
    <w:rsid w:val="0012729D"/>
    <w:rsid w:val="00143062"/>
    <w:rsid w:val="00146581"/>
    <w:rsid w:val="00153957"/>
    <w:rsid w:val="001552B2"/>
    <w:rsid w:val="001564A0"/>
    <w:rsid w:val="0016004D"/>
    <w:rsid w:val="00165598"/>
    <w:rsid w:val="0018222B"/>
    <w:rsid w:val="001B776D"/>
    <w:rsid w:val="001C65FC"/>
    <w:rsid w:val="001D6D0D"/>
    <w:rsid w:val="00205EFD"/>
    <w:rsid w:val="00210F77"/>
    <w:rsid w:val="00214640"/>
    <w:rsid w:val="00216A83"/>
    <w:rsid w:val="00237EEE"/>
    <w:rsid w:val="002454B4"/>
    <w:rsid w:val="00262E66"/>
    <w:rsid w:val="0027079D"/>
    <w:rsid w:val="0028742C"/>
    <w:rsid w:val="00293DD5"/>
    <w:rsid w:val="0029529F"/>
    <w:rsid w:val="002B3CB6"/>
    <w:rsid w:val="002C5DF1"/>
    <w:rsid w:val="002D3B06"/>
    <w:rsid w:val="002D5422"/>
    <w:rsid w:val="002D5DD1"/>
    <w:rsid w:val="002D67A5"/>
    <w:rsid w:val="0031040B"/>
    <w:rsid w:val="00317F6C"/>
    <w:rsid w:val="003209A5"/>
    <w:rsid w:val="0032769C"/>
    <w:rsid w:val="00340229"/>
    <w:rsid w:val="00340D0C"/>
    <w:rsid w:val="003411EB"/>
    <w:rsid w:val="0037484A"/>
    <w:rsid w:val="00383737"/>
    <w:rsid w:val="00394DFF"/>
    <w:rsid w:val="003958D0"/>
    <w:rsid w:val="003963E2"/>
    <w:rsid w:val="003A1E0D"/>
    <w:rsid w:val="003B1178"/>
    <w:rsid w:val="003B36F1"/>
    <w:rsid w:val="003B4BEF"/>
    <w:rsid w:val="003B7801"/>
    <w:rsid w:val="003B7EAD"/>
    <w:rsid w:val="003C15DF"/>
    <w:rsid w:val="003C1CB5"/>
    <w:rsid w:val="003C6EDB"/>
    <w:rsid w:val="003D5018"/>
    <w:rsid w:val="003D6F36"/>
    <w:rsid w:val="003E1EA4"/>
    <w:rsid w:val="003E236F"/>
    <w:rsid w:val="003E55FF"/>
    <w:rsid w:val="00401630"/>
    <w:rsid w:val="00404898"/>
    <w:rsid w:val="004056D0"/>
    <w:rsid w:val="0041659F"/>
    <w:rsid w:val="0042048B"/>
    <w:rsid w:val="00424C8B"/>
    <w:rsid w:val="00433135"/>
    <w:rsid w:val="004362F8"/>
    <w:rsid w:val="00436D51"/>
    <w:rsid w:val="0045185A"/>
    <w:rsid w:val="00456357"/>
    <w:rsid w:val="004638EA"/>
    <w:rsid w:val="004664A5"/>
    <w:rsid w:val="004764E2"/>
    <w:rsid w:val="00476518"/>
    <w:rsid w:val="00485576"/>
    <w:rsid w:val="004901FB"/>
    <w:rsid w:val="004A1750"/>
    <w:rsid w:val="004A646F"/>
    <w:rsid w:val="004A7912"/>
    <w:rsid w:val="004B09ED"/>
    <w:rsid w:val="004B6D91"/>
    <w:rsid w:val="004C42F5"/>
    <w:rsid w:val="004C7420"/>
    <w:rsid w:val="004E4523"/>
    <w:rsid w:val="0051467A"/>
    <w:rsid w:val="00526830"/>
    <w:rsid w:val="00526E86"/>
    <w:rsid w:val="00540B8D"/>
    <w:rsid w:val="005438C0"/>
    <w:rsid w:val="00562183"/>
    <w:rsid w:val="00574CE8"/>
    <w:rsid w:val="005777C7"/>
    <w:rsid w:val="00580D21"/>
    <w:rsid w:val="005843AF"/>
    <w:rsid w:val="005933F9"/>
    <w:rsid w:val="005969E0"/>
    <w:rsid w:val="005B1EEA"/>
    <w:rsid w:val="005B71CA"/>
    <w:rsid w:val="005C469D"/>
    <w:rsid w:val="005C5D2E"/>
    <w:rsid w:val="005D14DD"/>
    <w:rsid w:val="005D2B4A"/>
    <w:rsid w:val="005F1F1A"/>
    <w:rsid w:val="005F583E"/>
    <w:rsid w:val="006003AA"/>
    <w:rsid w:val="00607D3B"/>
    <w:rsid w:val="0062376C"/>
    <w:rsid w:val="00644272"/>
    <w:rsid w:val="00647ED4"/>
    <w:rsid w:val="006701D6"/>
    <w:rsid w:val="0067122C"/>
    <w:rsid w:val="00675F20"/>
    <w:rsid w:val="00676F72"/>
    <w:rsid w:val="00680623"/>
    <w:rsid w:val="006853FB"/>
    <w:rsid w:val="00696CF2"/>
    <w:rsid w:val="006A42FF"/>
    <w:rsid w:val="006B4455"/>
    <w:rsid w:val="006B66C6"/>
    <w:rsid w:val="006C45D9"/>
    <w:rsid w:val="006C4863"/>
    <w:rsid w:val="006C7858"/>
    <w:rsid w:val="006D013B"/>
    <w:rsid w:val="006D1ACE"/>
    <w:rsid w:val="006D6DB5"/>
    <w:rsid w:val="006E5246"/>
    <w:rsid w:val="006E697D"/>
    <w:rsid w:val="006F0C64"/>
    <w:rsid w:val="006F45C9"/>
    <w:rsid w:val="007046F1"/>
    <w:rsid w:val="00706E01"/>
    <w:rsid w:val="007167A1"/>
    <w:rsid w:val="0072078F"/>
    <w:rsid w:val="007216CC"/>
    <w:rsid w:val="0074201A"/>
    <w:rsid w:val="007500EF"/>
    <w:rsid w:val="00757617"/>
    <w:rsid w:val="007625B2"/>
    <w:rsid w:val="00782F75"/>
    <w:rsid w:val="00783B89"/>
    <w:rsid w:val="007A16F9"/>
    <w:rsid w:val="007A336C"/>
    <w:rsid w:val="007B105C"/>
    <w:rsid w:val="007B57D3"/>
    <w:rsid w:val="007C4424"/>
    <w:rsid w:val="007D45C5"/>
    <w:rsid w:val="007E504F"/>
    <w:rsid w:val="007E6143"/>
    <w:rsid w:val="007E7D46"/>
    <w:rsid w:val="007F113F"/>
    <w:rsid w:val="007F13B1"/>
    <w:rsid w:val="007F303E"/>
    <w:rsid w:val="007F4A35"/>
    <w:rsid w:val="007F7727"/>
    <w:rsid w:val="0080053B"/>
    <w:rsid w:val="00813094"/>
    <w:rsid w:val="008249B9"/>
    <w:rsid w:val="00827C88"/>
    <w:rsid w:val="00830A0F"/>
    <w:rsid w:val="00832625"/>
    <w:rsid w:val="008366DC"/>
    <w:rsid w:val="008428F1"/>
    <w:rsid w:val="0085349C"/>
    <w:rsid w:val="00863CA7"/>
    <w:rsid w:val="00865531"/>
    <w:rsid w:val="0087037E"/>
    <w:rsid w:val="00870B31"/>
    <w:rsid w:val="00883E81"/>
    <w:rsid w:val="008915C2"/>
    <w:rsid w:val="00894CA4"/>
    <w:rsid w:val="008A1E25"/>
    <w:rsid w:val="008A5FE2"/>
    <w:rsid w:val="008A7A06"/>
    <w:rsid w:val="008A7B30"/>
    <w:rsid w:val="008B1152"/>
    <w:rsid w:val="008B6FE5"/>
    <w:rsid w:val="008C6A00"/>
    <w:rsid w:val="008E5969"/>
    <w:rsid w:val="008F36ED"/>
    <w:rsid w:val="0090029F"/>
    <w:rsid w:val="00900644"/>
    <w:rsid w:val="0090350D"/>
    <w:rsid w:val="00927502"/>
    <w:rsid w:val="00934CDA"/>
    <w:rsid w:val="00935E80"/>
    <w:rsid w:val="00946463"/>
    <w:rsid w:val="00951D6A"/>
    <w:rsid w:val="00954B68"/>
    <w:rsid w:val="00955F40"/>
    <w:rsid w:val="00960BD2"/>
    <w:rsid w:val="009620B6"/>
    <w:rsid w:val="00974B31"/>
    <w:rsid w:val="00976693"/>
    <w:rsid w:val="00977768"/>
    <w:rsid w:val="00984445"/>
    <w:rsid w:val="00986E5E"/>
    <w:rsid w:val="00994BE6"/>
    <w:rsid w:val="009B0687"/>
    <w:rsid w:val="009B0E38"/>
    <w:rsid w:val="009B62C4"/>
    <w:rsid w:val="009C36ED"/>
    <w:rsid w:val="009D1CA2"/>
    <w:rsid w:val="009D3128"/>
    <w:rsid w:val="009D6DA5"/>
    <w:rsid w:val="009E3090"/>
    <w:rsid w:val="009E452A"/>
    <w:rsid w:val="009E67C9"/>
    <w:rsid w:val="009F0E16"/>
    <w:rsid w:val="00A0055C"/>
    <w:rsid w:val="00A11518"/>
    <w:rsid w:val="00A11D73"/>
    <w:rsid w:val="00A13C7C"/>
    <w:rsid w:val="00A17991"/>
    <w:rsid w:val="00A22679"/>
    <w:rsid w:val="00A32B27"/>
    <w:rsid w:val="00A44203"/>
    <w:rsid w:val="00A54DC6"/>
    <w:rsid w:val="00A616D8"/>
    <w:rsid w:val="00A6526E"/>
    <w:rsid w:val="00A709CC"/>
    <w:rsid w:val="00A74BD3"/>
    <w:rsid w:val="00A77FCA"/>
    <w:rsid w:val="00A8222A"/>
    <w:rsid w:val="00A83887"/>
    <w:rsid w:val="00A8775C"/>
    <w:rsid w:val="00A9530C"/>
    <w:rsid w:val="00AB456A"/>
    <w:rsid w:val="00AC09C1"/>
    <w:rsid w:val="00AE15C8"/>
    <w:rsid w:val="00AE78ED"/>
    <w:rsid w:val="00AF0C8E"/>
    <w:rsid w:val="00B118A7"/>
    <w:rsid w:val="00B12B23"/>
    <w:rsid w:val="00B156C8"/>
    <w:rsid w:val="00B32B4F"/>
    <w:rsid w:val="00B337EE"/>
    <w:rsid w:val="00B41656"/>
    <w:rsid w:val="00B63F02"/>
    <w:rsid w:val="00B70AEF"/>
    <w:rsid w:val="00B74B6C"/>
    <w:rsid w:val="00B92274"/>
    <w:rsid w:val="00B97BF8"/>
    <w:rsid w:val="00BA32F0"/>
    <w:rsid w:val="00BB1285"/>
    <w:rsid w:val="00BB7FBB"/>
    <w:rsid w:val="00BC53D7"/>
    <w:rsid w:val="00BC5EB3"/>
    <w:rsid w:val="00BD5AF9"/>
    <w:rsid w:val="00BE365F"/>
    <w:rsid w:val="00BE7E1D"/>
    <w:rsid w:val="00C26842"/>
    <w:rsid w:val="00C41486"/>
    <w:rsid w:val="00C41F74"/>
    <w:rsid w:val="00C44065"/>
    <w:rsid w:val="00C47B02"/>
    <w:rsid w:val="00C50EE1"/>
    <w:rsid w:val="00C55CAF"/>
    <w:rsid w:val="00C56BF4"/>
    <w:rsid w:val="00C73691"/>
    <w:rsid w:val="00C7529A"/>
    <w:rsid w:val="00C81B19"/>
    <w:rsid w:val="00C8343C"/>
    <w:rsid w:val="00C845B0"/>
    <w:rsid w:val="00C917FB"/>
    <w:rsid w:val="00C91E61"/>
    <w:rsid w:val="00CB5414"/>
    <w:rsid w:val="00CC60B2"/>
    <w:rsid w:val="00CC6222"/>
    <w:rsid w:val="00CE3419"/>
    <w:rsid w:val="00CE485A"/>
    <w:rsid w:val="00D04ED7"/>
    <w:rsid w:val="00D17390"/>
    <w:rsid w:val="00D22E61"/>
    <w:rsid w:val="00D250C8"/>
    <w:rsid w:val="00D25C53"/>
    <w:rsid w:val="00D54FA1"/>
    <w:rsid w:val="00D637C9"/>
    <w:rsid w:val="00D71896"/>
    <w:rsid w:val="00D8427D"/>
    <w:rsid w:val="00D9060B"/>
    <w:rsid w:val="00DB6C28"/>
    <w:rsid w:val="00DC4581"/>
    <w:rsid w:val="00DD078A"/>
    <w:rsid w:val="00DD4FC4"/>
    <w:rsid w:val="00DD6962"/>
    <w:rsid w:val="00DE0E15"/>
    <w:rsid w:val="00DF573A"/>
    <w:rsid w:val="00DF6DD1"/>
    <w:rsid w:val="00E1175A"/>
    <w:rsid w:val="00E13834"/>
    <w:rsid w:val="00E20305"/>
    <w:rsid w:val="00E207F5"/>
    <w:rsid w:val="00E37E8D"/>
    <w:rsid w:val="00E47853"/>
    <w:rsid w:val="00E512DF"/>
    <w:rsid w:val="00E52476"/>
    <w:rsid w:val="00E54F84"/>
    <w:rsid w:val="00E55435"/>
    <w:rsid w:val="00E608C0"/>
    <w:rsid w:val="00E73480"/>
    <w:rsid w:val="00E8470D"/>
    <w:rsid w:val="00E87C66"/>
    <w:rsid w:val="00E91E82"/>
    <w:rsid w:val="00E93E05"/>
    <w:rsid w:val="00E94A58"/>
    <w:rsid w:val="00EA0746"/>
    <w:rsid w:val="00EA153D"/>
    <w:rsid w:val="00EA2607"/>
    <w:rsid w:val="00EA4D9A"/>
    <w:rsid w:val="00EC7B47"/>
    <w:rsid w:val="00EE06A1"/>
    <w:rsid w:val="00EF12BA"/>
    <w:rsid w:val="00F03013"/>
    <w:rsid w:val="00F06785"/>
    <w:rsid w:val="00F11B9B"/>
    <w:rsid w:val="00F15C02"/>
    <w:rsid w:val="00F20105"/>
    <w:rsid w:val="00F36EC7"/>
    <w:rsid w:val="00F46AD1"/>
    <w:rsid w:val="00F47C67"/>
    <w:rsid w:val="00F51CDC"/>
    <w:rsid w:val="00F54B1C"/>
    <w:rsid w:val="00F5763D"/>
    <w:rsid w:val="00F71C38"/>
    <w:rsid w:val="00F72347"/>
    <w:rsid w:val="00F77B38"/>
    <w:rsid w:val="00F836F5"/>
    <w:rsid w:val="00F905FB"/>
    <w:rsid w:val="00F90E32"/>
    <w:rsid w:val="00F93458"/>
    <w:rsid w:val="00FA2787"/>
    <w:rsid w:val="00FA5607"/>
    <w:rsid w:val="00FC4EE8"/>
    <w:rsid w:val="00FD76F7"/>
    <w:rsid w:val="00FE7F6C"/>
    <w:rsid w:val="00FF0F15"/>
    <w:rsid w:val="00FF23D0"/>
    <w:rsid w:val="00FF4495"/>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8"/>
      </o:rules>
    </o:shapelayout>
  </w:shapeDefaults>
  <w:decimalSymbol w:val="."/>
  <w:listSeparator w:val=","/>
  <w15:chartTrackingRefBased/>
  <w15:docId w15:val="{5756683E-1489-4183-90C3-AAC8AA86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B9"/>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9B9"/>
    <w:pPr>
      <w:tabs>
        <w:tab w:val="center" w:pos="4320"/>
        <w:tab w:val="right" w:pos="8640"/>
      </w:tabs>
    </w:pPr>
  </w:style>
  <w:style w:type="paragraph" w:styleId="Footer">
    <w:name w:val="footer"/>
    <w:basedOn w:val="Normal"/>
    <w:semiHidden/>
    <w:rsid w:val="008249B9"/>
    <w:pPr>
      <w:tabs>
        <w:tab w:val="center" w:pos="4320"/>
        <w:tab w:val="right" w:pos="8640"/>
      </w:tabs>
    </w:pPr>
  </w:style>
  <w:style w:type="character" w:styleId="Hyperlink">
    <w:name w:val="Hyperlink"/>
    <w:semiHidden/>
    <w:rsid w:val="008249B9"/>
    <w:rPr>
      <w:color w:val="0000FF"/>
      <w:u w:val="single"/>
    </w:rPr>
  </w:style>
  <w:style w:type="character" w:styleId="FollowedHyperlink">
    <w:name w:val="FollowedHyperlink"/>
    <w:semiHidden/>
    <w:rsid w:val="008249B9"/>
    <w:rPr>
      <w:color w:val="800080"/>
      <w:u w:val="single"/>
    </w:rPr>
  </w:style>
  <w:style w:type="character" w:styleId="PageNumber">
    <w:name w:val="page number"/>
    <w:basedOn w:val="DefaultParagraphFont"/>
    <w:semiHidden/>
    <w:rsid w:val="008249B9"/>
  </w:style>
  <w:style w:type="paragraph" w:styleId="BalloonText">
    <w:name w:val="Balloon Text"/>
    <w:basedOn w:val="Normal"/>
    <w:link w:val="BalloonTextChar"/>
    <w:uiPriority w:val="99"/>
    <w:semiHidden/>
    <w:unhideWhenUsed/>
    <w:rsid w:val="002454B4"/>
    <w:rPr>
      <w:rFonts w:ascii="Tahoma" w:hAnsi="Tahoma" w:cs="Tahoma"/>
      <w:sz w:val="16"/>
      <w:szCs w:val="16"/>
    </w:rPr>
  </w:style>
  <w:style w:type="character" w:customStyle="1" w:styleId="BalloonTextChar">
    <w:name w:val="Balloon Text Char"/>
    <w:link w:val="BalloonText"/>
    <w:uiPriority w:val="99"/>
    <w:semiHidden/>
    <w:rsid w:val="002454B4"/>
    <w:rPr>
      <w:rFonts w:ascii="Tahoma" w:hAnsi="Tahoma" w:cs="Tahoma"/>
      <w:sz w:val="16"/>
      <w:szCs w:val="16"/>
    </w:rPr>
  </w:style>
  <w:style w:type="paragraph" w:styleId="ListParagraph">
    <w:name w:val="List Paragraph"/>
    <w:basedOn w:val="Normal"/>
    <w:uiPriority w:val="34"/>
    <w:qFormat/>
    <w:rsid w:val="008F36ED"/>
    <w:pPr>
      <w:ind w:left="720"/>
      <w:contextualSpacing/>
    </w:pPr>
    <w:rPr>
      <w:rFonts w:ascii="Times New Roman" w:hAnsi="Times New Roman"/>
      <w:sz w:val="24"/>
    </w:rPr>
  </w:style>
  <w:style w:type="character" w:customStyle="1" w:styleId="HeaderChar">
    <w:name w:val="Header Char"/>
    <w:link w:val="Header"/>
    <w:uiPriority w:val="99"/>
    <w:rsid w:val="00DD4FC4"/>
    <w:rPr>
      <w:rFonts w:ascii="Arial" w:hAnsi="Arial"/>
      <w:szCs w:val="24"/>
    </w:rPr>
  </w:style>
  <w:style w:type="table" w:styleId="TableGrid">
    <w:name w:val="Table Grid"/>
    <w:basedOn w:val="TableNormal"/>
    <w:uiPriority w:val="59"/>
    <w:rsid w:val="00A4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A5607"/>
    <w:rPr>
      <w:sz w:val="16"/>
      <w:szCs w:val="16"/>
    </w:rPr>
  </w:style>
  <w:style w:type="paragraph" w:styleId="CommentText">
    <w:name w:val="annotation text"/>
    <w:basedOn w:val="Normal"/>
    <w:link w:val="CommentTextChar"/>
    <w:uiPriority w:val="99"/>
    <w:semiHidden/>
    <w:unhideWhenUsed/>
    <w:rsid w:val="00FA5607"/>
    <w:rPr>
      <w:szCs w:val="20"/>
    </w:rPr>
  </w:style>
  <w:style w:type="character" w:customStyle="1" w:styleId="CommentTextChar">
    <w:name w:val="Comment Text Char"/>
    <w:link w:val="CommentText"/>
    <w:uiPriority w:val="99"/>
    <w:semiHidden/>
    <w:rsid w:val="00FA5607"/>
    <w:rPr>
      <w:rFonts w:ascii="Arial" w:hAnsi="Arial"/>
    </w:rPr>
  </w:style>
  <w:style w:type="paragraph" w:styleId="CommentSubject">
    <w:name w:val="annotation subject"/>
    <w:basedOn w:val="CommentText"/>
    <w:next w:val="CommentText"/>
    <w:link w:val="CommentSubjectChar"/>
    <w:uiPriority w:val="99"/>
    <w:semiHidden/>
    <w:unhideWhenUsed/>
    <w:rsid w:val="00FA5607"/>
    <w:rPr>
      <w:b/>
      <w:bCs/>
    </w:rPr>
  </w:style>
  <w:style w:type="character" w:customStyle="1" w:styleId="CommentSubjectChar">
    <w:name w:val="Comment Subject Char"/>
    <w:link w:val="CommentSubject"/>
    <w:uiPriority w:val="99"/>
    <w:semiHidden/>
    <w:rsid w:val="00FA5607"/>
    <w:rPr>
      <w:rFonts w:ascii="Arial" w:hAnsi="Arial"/>
      <w:b/>
      <w:bCs/>
    </w:rPr>
  </w:style>
  <w:style w:type="paragraph" w:customStyle="1" w:styleId="DefaultText">
    <w:name w:val="Default Text"/>
    <w:basedOn w:val="Normal"/>
    <w:rsid w:val="0080053B"/>
    <w:pPr>
      <w:autoSpaceDE w:val="0"/>
      <w:autoSpaceDN w:val="0"/>
      <w:adjustRightInd w:val="0"/>
    </w:pPr>
    <w:rPr>
      <w:rFonts w:ascii="Times New Roman" w:hAnsi="Times New Roman"/>
      <w:sz w:val="24"/>
    </w:rPr>
  </w:style>
  <w:style w:type="paragraph" w:customStyle="1" w:styleId="Default">
    <w:name w:val="Default"/>
    <w:rsid w:val="006D1AC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8148">
      <w:bodyDiv w:val="1"/>
      <w:marLeft w:val="0"/>
      <w:marRight w:val="0"/>
      <w:marTop w:val="0"/>
      <w:marBottom w:val="0"/>
      <w:divBdr>
        <w:top w:val="none" w:sz="0" w:space="0" w:color="auto"/>
        <w:left w:val="none" w:sz="0" w:space="0" w:color="auto"/>
        <w:bottom w:val="none" w:sz="0" w:space="0" w:color="auto"/>
        <w:right w:val="none" w:sz="0" w:space="0" w:color="auto"/>
      </w:divBdr>
    </w:div>
    <w:div w:id="13568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mo.gov/seniors/apsmanual/doc/1702.00.doc" TargetMode="External"/><Relationship Id="rId4" Type="http://schemas.openxmlformats.org/officeDocument/2006/relationships/settings" Target="settings.xml"/><Relationship Id="rId9" Type="http://schemas.openxmlformats.org/officeDocument/2006/relationships/hyperlink" Target="mailto:APSPolicy@health.mo.go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EE5ED-96D8-47E8-822A-EE3A3881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1752</CharactersWithSpaces>
  <SharedDoc>false</SharedDoc>
  <HLinks>
    <vt:vector size="18" baseType="variant">
      <vt:variant>
        <vt:i4>2818170</vt:i4>
      </vt:variant>
      <vt:variant>
        <vt:i4>3</vt:i4>
      </vt:variant>
      <vt:variant>
        <vt:i4>0</vt:i4>
      </vt:variant>
      <vt:variant>
        <vt:i4>5</vt:i4>
      </vt:variant>
      <vt:variant>
        <vt:lpwstr>https://health.mo.gov/seniors/apsmanual/doc/1702.00.doc</vt:lpwstr>
      </vt:variant>
      <vt:variant>
        <vt:lpwstr/>
      </vt:variant>
      <vt:variant>
        <vt:i4>2228296</vt:i4>
      </vt:variant>
      <vt:variant>
        <vt:i4>0</vt:i4>
      </vt:variant>
      <vt:variant>
        <vt:i4>0</vt:i4>
      </vt:variant>
      <vt:variant>
        <vt:i4>5</vt:i4>
      </vt:variant>
      <vt:variant>
        <vt:lpwstr>mailto:APSPolicy@health.mo.gov</vt:lpwstr>
      </vt:variant>
      <vt:variant>
        <vt:lpwstr/>
      </vt: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subject/>
  <dc:creator>Rita Summers</dc:creator>
  <cp:keywords/>
  <cp:lastModifiedBy>Clark, Jody</cp:lastModifiedBy>
  <cp:revision>2</cp:revision>
  <cp:lastPrinted>2019-06-03T18:12:00Z</cp:lastPrinted>
  <dcterms:created xsi:type="dcterms:W3CDTF">2020-06-11T17:09:00Z</dcterms:created>
  <dcterms:modified xsi:type="dcterms:W3CDTF">2020-06-11T17:09:00Z</dcterms:modified>
</cp:coreProperties>
</file>