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EF" w:rsidRDefault="002A7DEF" w:rsidP="002A7DE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PSEM 18-19</w:t>
      </w:r>
    </w:p>
    <w:p w:rsidR="00B7325B" w:rsidRPr="00300205" w:rsidRDefault="00A153B8" w:rsidP="0058156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067267">
        <w:rPr>
          <w:rFonts w:ascii="Times New Roman" w:hAnsi="Times New Roman"/>
          <w:sz w:val="24"/>
        </w:rPr>
        <w:t>14</w:t>
      </w:r>
      <w:r w:rsidR="00CF160C" w:rsidRPr="00300205">
        <w:rPr>
          <w:rFonts w:ascii="Times New Roman" w:hAnsi="Times New Roman"/>
          <w:sz w:val="24"/>
        </w:rPr>
        <w:t>, 2018</w:t>
      </w:r>
    </w:p>
    <w:p w:rsidR="0058156D" w:rsidRPr="00300205" w:rsidRDefault="0058156D" w:rsidP="0012324F">
      <w:pPr>
        <w:rPr>
          <w:rFonts w:ascii="Times New Roman" w:hAnsi="Times New Roman"/>
          <w:sz w:val="24"/>
        </w:rPr>
      </w:pPr>
    </w:p>
    <w:p w:rsidR="00634950" w:rsidRPr="00300205" w:rsidRDefault="0058156D" w:rsidP="0058156D">
      <w:pPr>
        <w:pStyle w:val="Header"/>
        <w:tabs>
          <w:tab w:val="left" w:pos="720"/>
        </w:tabs>
        <w:jc w:val="both"/>
        <w:rPr>
          <w:rFonts w:ascii="Times New Roman" w:hAnsi="Times New Roman"/>
          <w:b/>
          <w:sz w:val="24"/>
        </w:rPr>
      </w:pPr>
      <w:r w:rsidRPr="00300205">
        <w:rPr>
          <w:rFonts w:ascii="Times New Roman" w:hAnsi="Times New Roman"/>
          <w:b/>
          <w:sz w:val="24"/>
        </w:rPr>
        <w:t xml:space="preserve">MEMORANDUM FOR </w:t>
      </w:r>
      <w:r w:rsidR="00625D15" w:rsidRPr="00300205">
        <w:rPr>
          <w:rFonts w:ascii="Times New Roman" w:hAnsi="Times New Roman"/>
          <w:b/>
          <w:sz w:val="24"/>
        </w:rPr>
        <w:t>SECTION FOR ADULT PROTECTIVE SERVICES STAFF</w:t>
      </w:r>
    </w:p>
    <w:p w:rsidR="0058156D" w:rsidRPr="00300205" w:rsidRDefault="0058156D" w:rsidP="005815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300205">
        <w:rPr>
          <w:rFonts w:ascii="Times New Roman" w:hAnsi="Times New Roman"/>
          <w:sz w:val="24"/>
        </w:rPr>
        <w:t>From:</w:t>
      </w:r>
      <w:r w:rsidRPr="00300205">
        <w:rPr>
          <w:rFonts w:ascii="Times New Roman" w:hAnsi="Times New Roman"/>
          <w:sz w:val="24"/>
        </w:rPr>
        <w:tab/>
      </w:r>
      <w:r w:rsidRPr="00300205">
        <w:rPr>
          <w:rFonts w:ascii="Times New Roman" w:hAnsi="Times New Roman"/>
          <w:sz w:val="24"/>
        </w:rPr>
        <w:tab/>
        <w:t>Kathryn Sharp Sapp, Bureau Chief</w:t>
      </w:r>
      <w:r w:rsidRPr="00300205">
        <w:rPr>
          <w:rFonts w:ascii="Times New Roman" w:hAnsi="Times New Roman"/>
          <w:sz w:val="24"/>
        </w:rPr>
        <w:tab/>
      </w:r>
      <w:r w:rsidRPr="00300205">
        <w:rPr>
          <w:rFonts w:ascii="Times New Roman" w:hAnsi="Times New Roman"/>
          <w:sz w:val="24"/>
        </w:rPr>
        <w:tab/>
      </w:r>
      <w:r w:rsidR="00067267">
        <w:rPr>
          <w:noProof/>
        </w:rPr>
        <w:drawing>
          <wp:inline distT="0" distB="0" distL="0" distR="0" wp14:anchorId="769F125C" wp14:editId="4F904756">
            <wp:extent cx="1051560" cy="33479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1429" cy="33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56D" w:rsidRPr="00300205" w:rsidRDefault="0058156D" w:rsidP="005815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300205">
        <w:rPr>
          <w:rFonts w:ascii="Times New Roman" w:hAnsi="Times New Roman"/>
          <w:sz w:val="24"/>
        </w:rPr>
        <w:tab/>
      </w:r>
      <w:r w:rsidRPr="00300205">
        <w:rPr>
          <w:rFonts w:ascii="Times New Roman" w:hAnsi="Times New Roman"/>
          <w:sz w:val="24"/>
        </w:rPr>
        <w:tab/>
        <w:t>Division of Senior and Disability Services</w:t>
      </w:r>
      <w:r w:rsidR="005B0F35">
        <w:rPr>
          <w:rFonts w:ascii="Times New Roman" w:hAnsi="Times New Roman"/>
          <w:sz w:val="24"/>
        </w:rPr>
        <w:t xml:space="preserve"> (DSDS)</w:t>
      </w:r>
    </w:p>
    <w:p w:rsidR="0058156D" w:rsidRPr="00300205" w:rsidRDefault="0058156D" w:rsidP="005815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300205">
        <w:rPr>
          <w:rFonts w:ascii="Times New Roman" w:hAnsi="Times New Roman"/>
          <w:sz w:val="24"/>
        </w:rPr>
        <w:tab/>
      </w:r>
      <w:r w:rsidRPr="00300205">
        <w:rPr>
          <w:rFonts w:ascii="Times New Roman" w:hAnsi="Times New Roman"/>
          <w:sz w:val="24"/>
        </w:rPr>
        <w:tab/>
        <w:t>Adult Protective Services Policy Unit</w:t>
      </w:r>
    </w:p>
    <w:p w:rsidR="0058156D" w:rsidRPr="00300205" w:rsidRDefault="0058156D" w:rsidP="008C5977">
      <w:pPr>
        <w:pStyle w:val="Header"/>
        <w:tabs>
          <w:tab w:val="clear" w:pos="4320"/>
          <w:tab w:val="clear" w:pos="8640"/>
        </w:tabs>
        <w:spacing w:before="240"/>
        <w:rPr>
          <w:rFonts w:ascii="Times New Roman" w:hAnsi="Times New Roman"/>
          <w:sz w:val="24"/>
        </w:rPr>
      </w:pPr>
      <w:r w:rsidRPr="00300205">
        <w:rPr>
          <w:rFonts w:ascii="Times New Roman" w:hAnsi="Times New Roman"/>
          <w:sz w:val="24"/>
        </w:rPr>
        <w:t xml:space="preserve">Subject:   </w:t>
      </w:r>
      <w:r w:rsidRPr="00300205">
        <w:rPr>
          <w:rFonts w:ascii="Times New Roman" w:hAnsi="Times New Roman"/>
          <w:sz w:val="24"/>
        </w:rPr>
        <w:tab/>
      </w:r>
      <w:bookmarkStart w:id="0" w:name="_GoBack"/>
      <w:r w:rsidR="00300205" w:rsidRPr="00300205">
        <w:rPr>
          <w:rFonts w:ascii="Times New Roman" w:hAnsi="Times New Roman"/>
          <w:sz w:val="24"/>
        </w:rPr>
        <w:t>Senior Savings Protection Act</w:t>
      </w:r>
      <w:r w:rsidR="00E22241">
        <w:rPr>
          <w:rFonts w:ascii="Times New Roman" w:hAnsi="Times New Roman"/>
          <w:sz w:val="24"/>
        </w:rPr>
        <w:t xml:space="preserve"> (</w:t>
      </w:r>
      <w:r w:rsidR="00E22241" w:rsidRPr="00300205">
        <w:rPr>
          <w:rFonts w:ascii="Times New Roman" w:hAnsi="Times New Roman"/>
          <w:sz w:val="24"/>
        </w:rPr>
        <w:t>Senate Bill</w:t>
      </w:r>
      <w:r w:rsidR="00E22241">
        <w:rPr>
          <w:rFonts w:ascii="Times New Roman" w:hAnsi="Times New Roman"/>
          <w:sz w:val="24"/>
        </w:rPr>
        <w:t xml:space="preserve"> </w:t>
      </w:r>
      <w:r w:rsidR="00E22241" w:rsidRPr="00300205">
        <w:rPr>
          <w:rFonts w:ascii="Times New Roman" w:hAnsi="Times New Roman"/>
          <w:sz w:val="24"/>
        </w:rPr>
        <w:t>244</w:t>
      </w:r>
      <w:r w:rsidR="00E22241">
        <w:rPr>
          <w:rFonts w:ascii="Times New Roman" w:hAnsi="Times New Roman"/>
          <w:sz w:val="24"/>
        </w:rPr>
        <w:t>)</w:t>
      </w:r>
      <w:r w:rsidR="002A7DEF">
        <w:rPr>
          <w:rFonts w:ascii="Times New Roman" w:hAnsi="Times New Roman"/>
          <w:sz w:val="24"/>
        </w:rPr>
        <w:t xml:space="preserve"> Reports</w:t>
      </w:r>
      <w:bookmarkEnd w:id="0"/>
    </w:p>
    <w:p w:rsidR="00FC61E2" w:rsidRPr="00300205" w:rsidRDefault="00FC61E2" w:rsidP="005815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593F5B" w:rsidRDefault="00FC61E2" w:rsidP="005B0F35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 w:rsidRPr="00300205">
        <w:rPr>
          <w:rFonts w:ascii="Times New Roman" w:hAnsi="Times New Roman"/>
          <w:sz w:val="24"/>
        </w:rPr>
        <w:t xml:space="preserve">This is a reminder </w:t>
      </w:r>
      <w:r w:rsidR="00187708">
        <w:rPr>
          <w:rFonts w:ascii="Times New Roman" w:hAnsi="Times New Roman"/>
          <w:sz w:val="24"/>
        </w:rPr>
        <w:t xml:space="preserve">to </w:t>
      </w:r>
      <w:r w:rsidR="00E7031E">
        <w:rPr>
          <w:rFonts w:ascii="Times New Roman" w:hAnsi="Times New Roman"/>
          <w:sz w:val="24"/>
        </w:rPr>
        <w:t>Section for Adult Protective Services</w:t>
      </w:r>
      <w:r w:rsidR="005B0F35">
        <w:rPr>
          <w:rFonts w:ascii="Times New Roman" w:hAnsi="Times New Roman"/>
          <w:sz w:val="24"/>
        </w:rPr>
        <w:t xml:space="preserve"> </w:t>
      </w:r>
      <w:r w:rsidRPr="00300205">
        <w:rPr>
          <w:rFonts w:ascii="Times New Roman" w:hAnsi="Times New Roman"/>
          <w:sz w:val="24"/>
        </w:rPr>
        <w:t xml:space="preserve">staff, including Protective Services, Special Investigations Unit, and the Central Registry Unit, about </w:t>
      </w:r>
      <w:r w:rsidR="008C5977">
        <w:rPr>
          <w:rFonts w:ascii="Times New Roman" w:hAnsi="Times New Roman"/>
          <w:sz w:val="24"/>
        </w:rPr>
        <w:t>the Senior Savings Protection Act and the importance of selectin</w:t>
      </w:r>
      <w:r w:rsidR="002A7DEF">
        <w:rPr>
          <w:rFonts w:ascii="Times New Roman" w:hAnsi="Times New Roman"/>
          <w:sz w:val="24"/>
        </w:rPr>
        <w:t xml:space="preserve">g the significant indicator on </w:t>
      </w:r>
      <w:r w:rsidR="008C5977">
        <w:rPr>
          <w:rFonts w:ascii="Times New Roman" w:hAnsi="Times New Roman"/>
          <w:sz w:val="24"/>
        </w:rPr>
        <w:t>hotline report</w:t>
      </w:r>
      <w:r w:rsidR="002A7DEF">
        <w:rPr>
          <w:rFonts w:ascii="Times New Roman" w:hAnsi="Times New Roman"/>
          <w:sz w:val="24"/>
        </w:rPr>
        <w:t>s</w:t>
      </w:r>
      <w:r w:rsidR="008C5977">
        <w:rPr>
          <w:rFonts w:ascii="Times New Roman" w:hAnsi="Times New Roman"/>
          <w:sz w:val="24"/>
        </w:rPr>
        <w:t>. As mentioned in</w:t>
      </w:r>
      <w:r w:rsidR="00300205">
        <w:rPr>
          <w:rFonts w:ascii="Times New Roman" w:hAnsi="Times New Roman"/>
          <w:sz w:val="24"/>
        </w:rPr>
        <w:t xml:space="preserve"> PSEM 1</w:t>
      </w:r>
      <w:r w:rsidR="006B0590">
        <w:rPr>
          <w:rFonts w:ascii="Times New Roman" w:hAnsi="Times New Roman"/>
          <w:sz w:val="24"/>
        </w:rPr>
        <w:t>6</w:t>
      </w:r>
      <w:r w:rsidR="00300205">
        <w:rPr>
          <w:rFonts w:ascii="Times New Roman" w:hAnsi="Times New Roman"/>
          <w:sz w:val="24"/>
        </w:rPr>
        <w:t>-02</w:t>
      </w:r>
      <w:r w:rsidR="006B0590">
        <w:rPr>
          <w:rFonts w:ascii="Times New Roman" w:hAnsi="Times New Roman"/>
          <w:sz w:val="24"/>
        </w:rPr>
        <w:t xml:space="preserve"> </w:t>
      </w:r>
      <w:r w:rsidR="00593F5B">
        <w:rPr>
          <w:rFonts w:ascii="Times New Roman" w:hAnsi="Times New Roman"/>
          <w:sz w:val="24"/>
        </w:rPr>
        <w:t>SB</w:t>
      </w:r>
      <w:r w:rsidR="006B0590" w:rsidRPr="00300205">
        <w:rPr>
          <w:rFonts w:ascii="Times New Roman" w:hAnsi="Times New Roman"/>
          <w:sz w:val="24"/>
        </w:rPr>
        <w:t xml:space="preserve"> 244</w:t>
      </w:r>
      <w:r w:rsidR="006B0590">
        <w:rPr>
          <w:rFonts w:ascii="Times New Roman" w:hAnsi="Times New Roman"/>
          <w:sz w:val="24"/>
        </w:rPr>
        <w:t xml:space="preserve"> - </w:t>
      </w:r>
      <w:r w:rsidR="002406E5">
        <w:rPr>
          <w:rFonts w:ascii="Times New Roman" w:hAnsi="Times New Roman"/>
          <w:sz w:val="24"/>
        </w:rPr>
        <w:t>“Senior Savings Protection Act</w:t>
      </w:r>
      <w:r w:rsidR="006B0590" w:rsidRPr="00300205">
        <w:rPr>
          <w:rFonts w:ascii="Times New Roman" w:hAnsi="Times New Roman"/>
          <w:sz w:val="24"/>
        </w:rPr>
        <w:t xml:space="preserve">” </w:t>
      </w:r>
      <w:hyperlink r:id="rId9" w:history="1">
        <w:r w:rsidR="006B0590" w:rsidRPr="00DC3602">
          <w:rPr>
            <w:rStyle w:val="Hyperlink"/>
            <w:rFonts w:ascii="Times New Roman" w:hAnsi="Times New Roman"/>
            <w:sz w:val="24"/>
          </w:rPr>
          <w:t>https://health.mo.gov/seniors/apsmanual/doc/PSEM-16-02.doc</w:t>
        </w:r>
      </w:hyperlink>
      <w:r w:rsidR="008C5977" w:rsidRPr="008C5977">
        <w:rPr>
          <w:rStyle w:val="Hyperlink"/>
          <w:rFonts w:ascii="Times New Roman" w:hAnsi="Times New Roman"/>
          <w:color w:val="auto"/>
          <w:sz w:val="24"/>
          <w:u w:val="none"/>
        </w:rPr>
        <w:t>,</w:t>
      </w:r>
      <w:r w:rsidR="008C5977">
        <w:rPr>
          <w:rFonts w:ascii="Times New Roman" w:hAnsi="Times New Roman"/>
          <w:sz w:val="24"/>
        </w:rPr>
        <w:t xml:space="preserve"> t</w:t>
      </w:r>
      <w:r w:rsidR="00E22241">
        <w:rPr>
          <w:rFonts w:ascii="Times New Roman" w:hAnsi="Times New Roman"/>
          <w:sz w:val="24"/>
        </w:rPr>
        <w:t>he Act</w:t>
      </w:r>
      <w:r w:rsidR="006E630E">
        <w:rPr>
          <w:rFonts w:ascii="Times New Roman" w:hAnsi="Times New Roman"/>
          <w:sz w:val="24"/>
        </w:rPr>
        <w:t xml:space="preserve"> allows a </w:t>
      </w:r>
      <w:r w:rsidR="00E7031E">
        <w:rPr>
          <w:rFonts w:ascii="Times New Roman" w:hAnsi="Times New Roman"/>
          <w:sz w:val="24"/>
        </w:rPr>
        <w:t>“</w:t>
      </w:r>
      <w:r w:rsidR="006E630E">
        <w:rPr>
          <w:rFonts w:ascii="Times New Roman" w:hAnsi="Times New Roman"/>
          <w:sz w:val="24"/>
        </w:rPr>
        <w:t>broker/dealer</w:t>
      </w:r>
      <w:r w:rsidR="00E7031E">
        <w:rPr>
          <w:rFonts w:ascii="Times New Roman" w:hAnsi="Times New Roman"/>
          <w:sz w:val="24"/>
        </w:rPr>
        <w:t>”</w:t>
      </w:r>
      <w:r w:rsidR="006E630E">
        <w:rPr>
          <w:rFonts w:ascii="Times New Roman" w:hAnsi="Times New Roman"/>
          <w:sz w:val="24"/>
        </w:rPr>
        <w:t xml:space="preserve"> or “qualified person” to notify </w:t>
      </w:r>
      <w:r w:rsidR="008C5977">
        <w:rPr>
          <w:rFonts w:ascii="Times New Roman" w:hAnsi="Times New Roman"/>
          <w:sz w:val="24"/>
        </w:rPr>
        <w:t>DHSS</w:t>
      </w:r>
      <w:r w:rsidR="00283F3A">
        <w:rPr>
          <w:rFonts w:ascii="Times New Roman" w:hAnsi="Times New Roman"/>
          <w:sz w:val="24"/>
        </w:rPr>
        <w:t xml:space="preserve"> and the </w:t>
      </w:r>
      <w:r w:rsidR="008C5977">
        <w:rPr>
          <w:rFonts w:ascii="Times New Roman" w:hAnsi="Times New Roman"/>
          <w:sz w:val="24"/>
        </w:rPr>
        <w:t>Secretary of State (SOS)</w:t>
      </w:r>
      <w:r w:rsidR="00283F3A">
        <w:rPr>
          <w:rFonts w:ascii="Times New Roman" w:hAnsi="Times New Roman"/>
          <w:sz w:val="24"/>
        </w:rPr>
        <w:t xml:space="preserve"> when financial exploitation </w:t>
      </w:r>
      <w:r w:rsidR="008C5977">
        <w:rPr>
          <w:rFonts w:ascii="Times New Roman" w:hAnsi="Times New Roman"/>
          <w:sz w:val="24"/>
        </w:rPr>
        <w:t>is suspected.</w:t>
      </w:r>
    </w:p>
    <w:p w:rsidR="00593F5B" w:rsidRDefault="00593F5B" w:rsidP="006C612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593F5B" w:rsidRDefault="00593F5B" w:rsidP="005B0F35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 w:rsidRPr="005B0F35">
        <w:rPr>
          <w:rFonts w:ascii="Times New Roman" w:hAnsi="Times New Roman"/>
          <w:b/>
          <w:sz w:val="24"/>
        </w:rPr>
        <w:t>Broker/dealer</w:t>
      </w:r>
      <w:r w:rsidR="00E7031E">
        <w:rPr>
          <w:rFonts w:ascii="Times New Roman" w:hAnsi="Times New Roman"/>
          <w:sz w:val="24"/>
        </w:rPr>
        <w:t xml:space="preserve"> i</w:t>
      </w:r>
      <w:r>
        <w:rPr>
          <w:rFonts w:ascii="Times New Roman" w:hAnsi="Times New Roman"/>
          <w:sz w:val="24"/>
        </w:rPr>
        <w:t>s defined in Sections 409.1-102</w:t>
      </w:r>
      <w:r w:rsidR="008C5977">
        <w:rPr>
          <w:rFonts w:ascii="Times New Roman" w:hAnsi="Times New Roman"/>
          <w:sz w:val="24"/>
        </w:rPr>
        <w:t xml:space="preserve">, </w:t>
      </w:r>
      <w:proofErr w:type="gramStart"/>
      <w:r w:rsidR="008C5977">
        <w:rPr>
          <w:rFonts w:ascii="Times New Roman" w:hAnsi="Times New Roman"/>
          <w:sz w:val="24"/>
        </w:rPr>
        <w:t>RSMo.,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E7031E">
        <w:rPr>
          <w:rFonts w:ascii="Times New Roman" w:hAnsi="Times New Roman"/>
          <w:sz w:val="24"/>
        </w:rPr>
        <w:t>as “</w:t>
      </w:r>
      <w:r>
        <w:rPr>
          <w:rFonts w:ascii="Times New Roman" w:hAnsi="Times New Roman"/>
          <w:sz w:val="24"/>
        </w:rPr>
        <w:t>a person engaged in the business of effecting transactions in securities for the account of others or for the person’s own account.”</w:t>
      </w:r>
    </w:p>
    <w:p w:rsidR="00187708" w:rsidRDefault="00187708" w:rsidP="00187708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Times New Roman" w:hAnsi="Times New Roman"/>
          <w:sz w:val="24"/>
        </w:rPr>
      </w:pPr>
    </w:p>
    <w:p w:rsidR="00593F5B" w:rsidRDefault="00593F5B" w:rsidP="005B0F35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 w:rsidRPr="005B0F35">
        <w:rPr>
          <w:rFonts w:ascii="Times New Roman" w:hAnsi="Times New Roman"/>
          <w:b/>
          <w:sz w:val="24"/>
        </w:rPr>
        <w:t>Qualified individual</w:t>
      </w:r>
      <w:r>
        <w:rPr>
          <w:rFonts w:ascii="Times New Roman" w:hAnsi="Times New Roman"/>
          <w:sz w:val="24"/>
        </w:rPr>
        <w:t xml:space="preserve"> </w:t>
      </w:r>
      <w:r w:rsidR="00E7031E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s defined</w:t>
      </w:r>
      <w:r w:rsidR="008C5977">
        <w:rPr>
          <w:rFonts w:ascii="Times New Roman" w:hAnsi="Times New Roman"/>
          <w:sz w:val="24"/>
        </w:rPr>
        <w:t xml:space="preserve"> </w:t>
      </w:r>
      <w:r w:rsidR="002A7DE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s “a person associated with a broker/dealer who serves in a supervisory, compliance, or legal capacity as part of his/her job.</w:t>
      </w:r>
    </w:p>
    <w:p w:rsidR="006C612E" w:rsidRDefault="00FF10F5" w:rsidP="005B0F35">
      <w:pPr>
        <w:pStyle w:val="Header"/>
        <w:tabs>
          <w:tab w:val="clear" w:pos="4320"/>
          <w:tab w:val="clear" w:pos="8640"/>
        </w:tabs>
        <w:ind w:left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25D15" w:rsidRPr="00300205" w:rsidRDefault="002A7DEF" w:rsidP="005B0F35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Effective January 1, 2019, when </w:t>
      </w:r>
      <w:r w:rsidR="00625D15" w:rsidRPr="00300205">
        <w:rPr>
          <w:rFonts w:ascii="Times New Roman" w:hAnsi="Times New Roman"/>
          <w:sz w:val="24"/>
        </w:rPr>
        <w:t>CRU receive</w:t>
      </w:r>
      <w:r>
        <w:rPr>
          <w:rFonts w:ascii="Times New Roman" w:hAnsi="Times New Roman"/>
          <w:sz w:val="24"/>
        </w:rPr>
        <w:t>s a</w:t>
      </w:r>
      <w:r w:rsidR="00625D15" w:rsidRPr="00300205">
        <w:rPr>
          <w:rFonts w:ascii="Times New Roman" w:hAnsi="Times New Roman"/>
          <w:sz w:val="24"/>
        </w:rPr>
        <w:t xml:space="preserve"> </w:t>
      </w:r>
      <w:r w:rsidR="009F77F6" w:rsidRPr="009A06D5">
        <w:rPr>
          <w:rFonts w:ascii="Times New Roman" w:hAnsi="Times New Roman"/>
          <w:sz w:val="24"/>
        </w:rPr>
        <w:t>hotline</w:t>
      </w:r>
      <w:r w:rsidR="009F77F6">
        <w:rPr>
          <w:rFonts w:ascii="Times New Roman" w:hAnsi="Times New Roman"/>
          <w:color w:val="FF0000"/>
          <w:sz w:val="24"/>
        </w:rPr>
        <w:t xml:space="preserve"> </w:t>
      </w:r>
      <w:r w:rsidR="00625D15" w:rsidRPr="00300205">
        <w:rPr>
          <w:rFonts w:ascii="Times New Roman" w:hAnsi="Times New Roman"/>
          <w:sz w:val="24"/>
        </w:rPr>
        <w:t>report</w:t>
      </w:r>
      <w:r w:rsidR="008C597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staff will</w:t>
      </w:r>
      <w:r w:rsidR="00625D15" w:rsidRPr="00300205">
        <w:rPr>
          <w:rFonts w:ascii="Times New Roman" w:hAnsi="Times New Roman"/>
          <w:sz w:val="24"/>
        </w:rPr>
        <w:t xml:space="preserve"> verify the reporter is a </w:t>
      </w:r>
      <w:r w:rsidR="00593F5B">
        <w:rPr>
          <w:rFonts w:ascii="Times New Roman" w:hAnsi="Times New Roman"/>
          <w:sz w:val="24"/>
        </w:rPr>
        <w:t xml:space="preserve">broker/dealer or a </w:t>
      </w:r>
      <w:r w:rsidR="00625D15" w:rsidRPr="00300205">
        <w:rPr>
          <w:rFonts w:ascii="Times New Roman" w:hAnsi="Times New Roman"/>
          <w:sz w:val="24"/>
        </w:rPr>
        <w:t>qualified individual</w:t>
      </w:r>
      <w:r w:rsidR="008C5977">
        <w:rPr>
          <w:rFonts w:ascii="Times New Roman" w:hAnsi="Times New Roman"/>
          <w:sz w:val="24"/>
        </w:rPr>
        <w:t xml:space="preserve"> in order to select the Significant </w:t>
      </w:r>
      <w:r>
        <w:rPr>
          <w:rFonts w:ascii="Times New Roman" w:hAnsi="Times New Roman"/>
          <w:sz w:val="24"/>
        </w:rPr>
        <w:t xml:space="preserve">Event </w:t>
      </w:r>
      <w:r w:rsidR="008C5977">
        <w:rPr>
          <w:rFonts w:ascii="Times New Roman" w:hAnsi="Times New Roman"/>
          <w:sz w:val="24"/>
        </w:rPr>
        <w:t>Indicator “Sr. Savings Act”</w:t>
      </w:r>
      <w:r w:rsidR="00593F5B">
        <w:rPr>
          <w:rFonts w:ascii="Times New Roman" w:hAnsi="Times New Roman"/>
          <w:sz w:val="24"/>
        </w:rPr>
        <w:t xml:space="preserve">. The following guidelines </w:t>
      </w:r>
      <w:r w:rsidR="00E7031E">
        <w:rPr>
          <w:rFonts w:ascii="Times New Roman" w:hAnsi="Times New Roman"/>
          <w:sz w:val="24"/>
        </w:rPr>
        <w:t>should be used</w:t>
      </w:r>
      <w:r w:rsidR="00593F5B">
        <w:rPr>
          <w:rFonts w:ascii="Times New Roman" w:hAnsi="Times New Roman"/>
          <w:sz w:val="24"/>
        </w:rPr>
        <w:t>:</w:t>
      </w:r>
    </w:p>
    <w:p w:rsidR="00625D15" w:rsidRPr="00300205" w:rsidRDefault="00625D15" w:rsidP="00625D15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61E2" w:rsidRPr="00300205" w:rsidRDefault="00E22241" w:rsidP="005B0F35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“</w:t>
      </w:r>
      <w:r w:rsidR="009A4525" w:rsidRPr="008C5977">
        <w:rPr>
          <w:rFonts w:ascii="Times New Roman" w:hAnsi="Times New Roman"/>
          <w:b/>
          <w:sz w:val="24"/>
          <w:szCs w:val="24"/>
        </w:rPr>
        <w:t>Sr. Savings Act</w:t>
      </w:r>
      <w:r>
        <w:rPr>
          <w:rFonts w:ascii="Times New Roman" w:hAnsi="Times New Roman"/>
          <w:sz w:val="24"/>
          <w:szCs w:val="24"/>
        </w:rPr>
        <w:t>”</w:t>
      </w:r>
      <w:r w:rsidR="009A4525">
        <w:rPr>
          <w:rFonts w:ascii="Times New Roman" w:hAnsi="Times New Roman"/>
          <w:sz w:val="24"/>
          <w:szCs w:val="24"/>
        </w:rPr>
        <w:t xml:space="preserve"> </w:t>
      </w:r>
      <w:r w:rsidR="008C5977">
        <w:rPr>
          <w:rFonts w:ascii="Times New Roman" w:hAnsi="Times New Roman"/>
          <w:sz w:val="24"/>
          <w:szCs w:val="24"/>
        </w:rPr>
        <w:t>Significant Event</w:t>
      </w:r>
      <w:r w:rsidR="00FC61E2" w:rsidRPr="00300205">
        <w:rPr>
          <w:rFonts w:ascii="Times New Roman" w:hAnsi="Times New Roman"/>
          <w:sz w:val="24"/>
          <w:szCs w:val="24"/>
        </w:rPr>
        <w:t xml:space="preserve"> </w:t>
      </w:r>
      <w:r w:rsidR="002A7DEF">
        <w:rPr>
          <w:rFonts w:ascii="Times New Roman" w:hAnsi="Times New Roman"/>
          <w:sz w:val="24"/>
          <w:szCs w:val="24"/>
        </w:rPr>
        <w:t>I</w:t>
      </w:r>
      <w:r w:rsidR="003A74BB" w:rsidRPr="00300205">
        <w:rPr>
          <w:rFonts w:ascii="Times New Roman" w:hAnsi="Times New Roman"/>
          <w:sz w:val="24"/>
          <w:szCs w:val="24"/>
        </w:rPr>
        <w:t>ndicator in</w:t>
      </w:r>
      <w:r w:rsidR="00FC61E2" w:rsidRPr="00300205">
        <w:rPr>
          <w:rFonts w:ascii="Times New Roman" w:hAnsi="Times New Roman"/>
          <w:sz w:val="24"/>
          <w:szCs w:val="24"/>
        </w:rPr>
        <w:t xml:space="preserve"> Case Compass</w:t>
      </w:r>
      <w:r w:rsidR="003A74BB" w:rsidRPr="00300205">
        <w:rPr>
          <w:rFonts w:ascii="Times New Roman" w:hAnsi="Times New Roman"/>
          <w:sz w:val="24"/>
          <w:szCs w:val="24"/>
        </w:rPr>
        <w:t xml:space="preserve"> is required </w:t>
      </w:r>
      <w:r w:rsidR="008C5977">
        <w:rPr>
          <w:rFonts w:ascii="Times New Roman" w:hAnsi="Times New Roman"/>
          <w:sz w:val="24"/>
          <w:szCs w:val="24"/>
        </w:rPr>
        <w:t xml:space="preserve">to be selected </w:t>
      </w:r>
      <w:r w:rsidR="003A74BB" w:rsidRPr="00300205">
        <w:rPr>
          <w:rFonts w:ascii="Times New Roman" w:hAnsi="Times New Roman"/>
          <w:sz w:val="24"/>
          <w:szCs w:val="24"/>
        </w:rPr>
        <w:t>wh</w:t>
      </w:r>
      <w:r w:rsidR="00CA2617">
        <w:rPr>
          <w:rFonts w:ascii="Times New Roman" w:hAnsi="Times New Roman"/>
          <w:sz w:val="24"/>
          <w:szCs w:val="24"/>
        </w:rPr>
        <w:t xml:space="preserve">en </w:t>
      </w:r>
      <w:r w:rsidR="00FC61E2" w:rsidRPr="00300205">
        <w:rPr>
          <w:rFonts w:ascii="Times New Roman" w:hAnsi="Times New Roman"/>
          <w:sz w:val="24"/>
          <w:szCs w:val="24"/>
        </w:rPr>
        <w:t xml:space="preserve">a </w:t>
      </w:r>
      <w:r w:rsidR="00574C4D">
        <w:rPr>
          <w:rFonts w:ascii="Times New Roman" w:hAnsi="Times New Roman"/>
          <w:sz w:val="24"/>
          <w:szCs w:val="24"/>
        </w:rPr>
        <w:t>“</w:t>
      </w:r>
      <w:r w:rsidR="00593F5B">
        <w:rPr>
          <w:rFonts w:ascii="Times New Roman" w:hAnsi="Times New Roman"/>
          <w:sz w:val="24"/>
          <w:szCs w:val="24"/>
        </w:rPr>
        <w:t>broker/dealer</w:t>
      </w:r>
      <w:r w:rsidR="00574C4D">
        <w:rPr>
          <w:rFonts w:ascii="Times New Roman" w:hAnsi="Times New Roman"/>
          <w:sz w:val="24"/>
          <w:szCs w:val="24"/>
        </w:rPr>
        <w:t>”</w:t>
      </w:r>
      <w:r w:rsidR="00593F5B">
        <w:rPr>
          <w:rFonts w:ascii="Times New Roman" w:hAnsi="Times New Roman"/>
          <w:sz w:val="24"/>
          <w:szCs w:val="24"/>
        </w:rPr>
        <w:t xml:space="preserve"> or </w:t>
      </w:r>
      <w:r w:rsidR="00FC61E2" w:rsidRPr="00300205">
        <w:rPr>
          <w:rFonts w:ascii="Times New Roman" w:hAnsi="Times New Roman"/>
          <w:sz w:val="24"/>
          <w:szCs w:val="24"/>
        </w:rPr>
        <w:t xml:space="preserve">“qualified individual” </w:t>
      </w:r>
      <w:r w:rsidR="008C5977">
        <w:rPr>
          <w:rFonts w:ascii="Times New Roman" w:hAnsi="Times New Roman"/>
          <w:sz w:val="24"/>
          <w:szCs w:val="24"/>
        </w:rPr>
        <w:t>is reporting</w:t>
      </w:r>
      <w:r w:rsidR="00FC61E2" w:rsidRPr="00300205">
        <w:rPr>
          <w:rFonts w:ascii="Times New Roman" w:hAnsi="Times New Roman"/>
          <w:sz w:val="24"/>
          <w:szCs w:val="24"/>
        </w:rPr>
        <w:t xml:space="preserve"> financial exploitation</w:t>
      </w:r>
      <w:r w:rsidR="003A74BB" w:rsidRPr="00300205">
        <w:rPr>
          <w:rFonts w:ascii="Times New Roman" w:hAnsi="Times New Roman"/>
          <w:sz w:val="24"/>
          <w:szCs w:val="24"/>
        </w:rPr>
        <w:t>.</w:t>
      </w:r>
      <w:r w:rsidR="00FC61E2" w:rsidRPr="00300205">
        <w:rPr>
          <w:rFonts w:ascii="Times New Roman" w:hAnsi="Times New Roman"/>
          <w:sz w:val="24"/>
          <w:szCs w:val="24"/>
        </w:rPr>
        <w:t xml:space="preserve"> </w:t>
      </w:r>
    </w:p>
    <w:p w:rsidR="00625D15" w:rsidRPr="00300205" w:rsidRDefault="00625D15" w:rsidP="005B0F3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14545" w:rsidRPr="00300205" w:rsidRDefault="00CA2617" w:rsidP="005B0F35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</w:t>
      </w:r>
      <w:r w:rsidR="005B0F35">
        <w:rPr>
          <w:rFonts w:ascii="Times New Roman" w:hAnsi="Times New Roman"/>
          <w:sz w:val="24"/>
          <w:szCs w:val="24"/>
        </w:rPr>
        <w:t>DSDS</w:t>
      </w:r>
      <w:r w:rsidR="00625D15" w:rsidRPr="00300205">
        <w:rPr>
          <w:rFonts w:ascii="Times New Roman" w:hAnsi="Times New Roman"/>
          <w:sz w:val="24"/>
          <w:szCs w:val="24"/>
        </w:rPr>
        <w:t xml:space="preserve"> staff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are assigned</w:t>
      </w:r>
      <w:proofErr w:type="gramEnd"/>
      <w:r>
        <w:rPr>
          <w:rFonts w:ascii="Times New Roman" w:hAnsi="Times New Roman"/>
          <w:sz w:val="24"/>
          <w:szCs w:val="24"/>
        </w:rPr>
        <w:t xml:space="preserve"> a hotline </w:t>
      </w:r>
      <w:r w:rsidR="00FC61E2" w:rsidRPr="00300205">
        <w:rPr>
          <w:rFonts w:ascii="Times New Roman" w:hAnsi="Times New Roman"/>
          <w:sz w:val="24"/>
          <w:szCs w:val="24"/>
        </w:rPr>
        <w:t xml:space="preserve">report </w:t>
      </w:r>
      <w:r w:rsidR="00831532">
        <w:rPr>
          <w:rFonts w:ascii="Times New Roman" w:hAnsi="Times New Roman"/>
          <w:sz w:val="24"/>
          <w:szCs w:val="24"/>
        </w:rPr>
        <w:t>with the “</w:t>
      </w:r>
      <w:r w:rsidR="00831532" w:rsidRPr="008C5977">
        <w:rPr>
          <w:rFonts w:ascii="Times New Roman" w:hAnsi="Times New Roman"/>
          <w:b/>
          <w:sz w:val="24"/>
          <w:szCs w:val="24"/>
        </w:rPr>
        <w:t>Sr. Savings Act</w:t>
      </w:r>
      <w:r w:rsidR="00831532">
        <w:rPr>
          <w:rFonts w:ascii="Times New Roman" w:hAnsi="Times New Roman"/>
          <w:sz w:val="24"/>
          <w:szCs w:val="24"/>
        </w:rPr>
        <w:t>” indicated,</w:t>
      </w:r>
      <w:r w:rsidR="009F77F6">
        <w:rPr>
          <w:rFonts w:ascii="Times New Roman" w:hAnsi="Times New Roman"/>
          <w:sz w:val="24"/>
          <w:szCs w:val="24"/>
        </w:rPr>
        <w:t xml:space="preserve"> </w:t>
      </w:r>
      <w:r w:rsidR="009F77F6" w:rsidRPr="009A06D5">
        <w:rPr>
          <w:rFonts w:ascii="Times New Roman" w:hAnsi="Times New Roman"/>
          <w:sz w:val="24"/>
          <w:szCs w:val="24"/>
        </w:rPr>
        <w:t>they</w:t>
      </w:r>
      <w:r w:rsidR="00831532" w:rsidRPr="009A06D5">
        <w:rPr>
          <w:rFonts w:ascii="Times New Roman" w:hAnsi="Times New Roman"/>
          <w:sz w:val="24"/>
          <w:szCs w:val="24"/>
        </w:rPr>
        <w:t xml:space="preserve"> </w:t>
      </w:r>
      <w:r w:rsidR="00FC61E2" w:rsidRPr="009A06D5">
        <w:rPr>
          <w:rFonts w:ascii="Times New Roman" w:hAnsi="Times New Roman"/>
          <w:sz w:val="24"/>
          <w:szCs w:val="24"/>
        </w:rPr>
        <w:t xml:space="preserve">should </w:t>
      </w:r>
      <w:r w:rsidR="00FC61E2" w:rsidRPr="00300205">
        <w:rPr>
          <w:rFonts w:ascii="Times New Roman" w:hAnsi="Times New Roman"/>
          <w:sz w:val="24"/>
          <w:szCs w:val="24"/>
        </w:rPr>
        <w:t xml:space="preserve">contact </w:t>
      </w:r>
      <w:r w:rsidR="003A74BB" w:rsidRPr="00300205">
        <w:rPr>
          <w:rFonts w:ascii="Times New Roman" w:hAnsi="Times New Roman"/>
          <w:sz w:val="24"/>
          <w:szCs w:val="24"/>
        </w:rPr>
        <w:t xml:space="preserve">the </w:t>
      </w:r>
      <w:r w:rsidR="008C5977">
        <w:rPr>
          <w:rFonts w:ascii="Times New Roman" w:hAnsi="Times New Roman"/>
          <w:sz w:val="24"/>
          <w:szCs w:val="24"/>
        </w:rPr>
        <w:t>SOS</w:t>
      </w:r>
      <w:r w:rsidR="00FC61E2" w:rsidRPr="00300205">
        <w:rPr>
          <w:rFonts w:ascii="Times New Roman" w:hAnsi="Times New Roman"/>
          <w:sz w:val="24"/>
          <w:szCs w:val="24"/>
        </w:rPr>
        <w:t xml:space="preserve"> at (573) 751-4704 to coordinate a co-investigation.  If </w:t>
      </w:r>
      <w:r w:rsidR="003A74BB" w:rsidRPr="00300205">
        <w:rPr>
          <w:rFonts w:ascii="Times New Roman" w:hAnsi="Times New Roman"/>
          <w:sz w:val="24"/>
          <w:szCs w:val="24"/>
        </w:rPr>
        <w:t>staff</w:t>
      </w:r>
      <w:r w:rsidR="00FC61E2" w:rsidRPr="00300205">
        <w:rPr>
          <w:rFonts w:ascii="Times New Roman" w:hAnsi="Times New Roman"/>
          <w:sz w:val="24"/>
          <w:szCs w:val="24"/>
        </w:rPr>
        <w:t xml:space="preserve"> receive a call reporting </w:t>
      </w:r>
      <w:r w:rsidR="00E22241">
        <w:rPr>
          <w:rFonts w:ascii="Times New Roman" w:hAnsi="Times New Roman"/>
          <w:sz w:val="24"/>
          <w:szCs w:val="24"/>
        </w:rPr>
        <w:t>such</w:t>
      </w:r>
      <w:r w:rsidR="00FC61E2" w:rsidRPr="00300205">
        <w:rPr>
          <w:rFonts w:ascii="Times New Roman" w:hAnsi="Times New Roman"/>
          <w:sz w:val="24"/>
          <w:szCs w:val="24"/>
        </w:rPr>
        <w:t xml:space="preserve"> activities that has not been reported to CRU, </w:t>
      </w:r>
      <w:r>
        <w:rPr>
          <w:rFonts w:ascii="Times New Roman" w:hAnsi="Times New Roman"/>
          <w:sz w:val="24"/>
          <w:szCs w:val="24"/>
        </w:rPr>
        <w:t xml:space="preserve">field </w:t>
      </w:r>
      <w:r w:rsidR="00FC61E2" w:rsidRPr="00300205">
        <w:rPr>
          <w:rFonts w:ascii="Times New Roman" w:hAnsi="Times New Roman"/>
          <w:sz w:val="24"/>
          <w:szCs w:val="24"/>
        </w:rPr>
        <w:t xml:space="preserve">staff </w:t>
      </w:r>
      <w:r w:rsidR="00831532">
        <w:rPr>
          <w:rFonts w:ascii="Times New Roman" w:hAnsi="Times New Roman"/>
          <w:sz w:val="24"/>
          <w:szCs w:val="24"/>
        </w:rPr>
        <w:t>will</w:t>
      </w:r>
      <w:r w:rsidR="00FC61E2" w:rsidRPr="00300205">
        <w:rPr>
          <w:rFonts w:ascii="Times New Roman" w:hAnsi="Times New Roman"/>
          <w:sz w:val="24"/>
          <w:szCs w:val="24"/>
        </w:rPr>
        <w:t xml:space="preserve"> </w:t>
      </w:r>
      <w:r w:rsidR="00625D15" w:rsidRPr="00300205">
        <w:rPr>
          <w:rFonts w:ascii="Times New Roman" w:hAnsi="Times New Roman"/>
          <w:sz w:val="24"/>
          <w:szCs w:val="24"/>
        </w:rPr>
        <w:t>generate</w:t>
      </w:r>
      <w:r w:rsidR="00914545" w:rsidRPr="00300205">
        <w:rPr>
          <w:rFonts w:ascii="Times New Roman" w:hAnsi="Times New Roman"/>
          <w:sz w:val="24"/>
          <w:szCs w:val="24"/>
        </w:rPr>
        <w:t xml:space="preserve"> a report and select </w:t>
      </w:r>
      <w:r w:rsidR="00FC61E2" w:rsidRPr="00300205">
        <w:rPr>
          <w:rFonts w:ascii="Times New Roman" w:hAnsi="Times New Roman"/>
          <w:sz w:val="24"/>
          <w:szCs w:val="24"/>
        </w:rPr>
        <w:t>“</w:t>
      </w:r>
      <w:r w:rsidR="00046F25" w:rsidRPr="004B1A2F">
        <w:rPr>
          <w:rFonts w:ascii="Times New Roman" w:hAnsi="Times New Roman"/>
          <w:b/>
          <w:sz w:val="24"/>
          <w:szCs w:val="24"/>
        </w:rPr>
        <w:t>Sr. Savings Act</w:t>
      </w:r>
      <w:r w:rsidR="00FC61E2" w:rsidRPr="00300205">
        <w:rPr>
          <w:rFonts w:ascii="Times New Roman" w:hAnsi="Times New Roman"/>
          <w:sz w:val="24"/>
          <w:szCs w:val="24"/>
        </w:rPr>
        <w:t>” as a Significant Event</w:t>
      </w:r>
      <w:r>
        <w:rPr>
          <w:rFonts w:ascii="Times New Roman" w:hAnsi="Times New Roman"/>
          <w:sz w:val="24"/>
          <w:szCs w:val="24"/>
        </w:rPr>
        <w:t xml:space="preserve"> Indicator</w:t>
      </w:r>
      <w:r w:rsidR="00FC61E2" w:rsidRPr="00300205">
        <w:rPr>
          <w:rFonts w:ascii="Times New Roman" w:hAnsi="Times New Roman"/>
          <w:sz w:val="24"/>
          <w:szCs w:val="24"/>
        </w:rPr>
        <w:t xml:space="preserve">, found under the Report Summary tab of Case Compass. </w:t>
      </w:r>
    </w:p>
    <w:p w:rsidR="00914545" w:rsidRPr="00300205" w:rsidRDefault="00914545" w:rsidP="005B0F3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C61E2" w:rsidRPr="00300205" w:rsidRDefault="00914545" w:rsidP="005B0F35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0205">
        <w:rPr>
          <w:rFonts w:ascii="Times New Roman" w:hAnsi="Times New Roman"/>
          <w:sz w:val="24"/>
          <w:szCs w:val="24"/>
        </w:rPr>
        <w:t>The</w:t>
      </w:r>
      <w:r w:rsidR="00FC61E2" w:rsidRPr="00300205">
        <w:rPr>
          <w:rFonts w:ascii="Times New Roman" w:hAnsi="Times New Roman"/>
          <w:sz w:val="24"/>
          <w:szCs w:val="24"/>
        </w:rPr>
        <w:t xml:space="preserve"> Financial Industry Regulatory Authority (FINRA) may assist </w:t>
      </w:r>
      <w:r w:rsidRPr="00300205">
        <w:rPr>
          <w:rFonts w:ascii="Times New Roman" w:hAnsi="Times New Roman"/>
          <w:sz w:val="24"/>
          <w:szCs w:val="24"/>
        </w:rPr>
        <w:t>in</w:t>
      </w:r>
      <w:r w:rsidR="00FC61E2" w:rsidRPr="00300205">
        <w:rPr>
          <w:rFonts w:ascii="Times New Roman" w:hAnsi="Times New Roman"/>
          <w:sz w:val="24"/>
          <w:szCs w:val="24"/>
        </w:rPr>
        <w:t xml:space="preserve"> verify</w:t>
      </w:r>
      <w:r w:rsidRPr="00300205">
        <w:rPr>
          <w:rFonts w:ascii="Times New Roman" w:hAnsi="Times New Roman"/>
          <w:sz w:val="24"/>
          <w:szCs w:val="24"/>
        </w:rPr>
        <w:t>ing</w:t>
      </w:r>
      <w:r w:rsidR="00FC61E2" w:rsidRPr="00300205">
        <w:rPr>
          <w:rFonts w:ascii="Times New Roman" w:hAnsi="Times New Roman"/>
          <w:sz w:val="24"/>
          <w:szCs w:val="24"/>
        </w:rPr>
        <w:t xml:space="preserve"> broker/dealer information at </w:t>
      </w:r>
      <w:hyperlink r:id="rId10" w:history="1">
        <w:r w:rsidR="00FC61E2" w:rsidRPr="00300205">
          <w:rPr>
            <w:rStyle w:val="Hyperlink"/>
            <w:rFonts w:ascii="Times New Roman" w:hAnsi="Times New Roman"/>
            <w:sz w:val="24"/>
            <w:szCs w:val="24"/>
          </w:rPr>
          <w:t>http://brokercheck.finra.org/</w:t>
        </w:r>
      </w:hyperlink>
      <w:r w:rsidR="00FC61E2" w:rsidRPr="00300205">
        <w:rPr>
          <w:rFonts w:ascii="Times New Roman" w:hAnsi="Times New Roman"/>
          <w:sz w:val="24"/>
          <w:szCs w:val="24"/>
        </w:rPr>
        <w:t xml:space="preserve">.  The link to the “Broker Check” has been added to the “Links” drop-down box in Case Compass. </w:t>
      </w:r>
    </w:p>
    <w:p w:rsidR="00831532" w:rsidRDefault="00831532" w:rsidP="00831532">
      <w:pPr>
        <w:jc w:val="both"/>
        <w:rPr>
          <w:rFonts w:ascii="Times New Roman" w:hAnsi="Times New Roman"/>
          <w:sz w:val="24"/>
        </w:rPr>
      </w:pPr>
    </w:p>
    <w:p w:rsidR="00FC61E2" w:rsidRPr="00831532" w:rsidRDefault="00831532" w:rsidP="008315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DSDS staff discover after </w:t>
      </w:r>
      <w:r w:rsidR="00FC61E2" w:rsidRPr="00831532">
        <w:rPr>
          <w:rFonts w:ascii="Times New Roman" w:hAnsi="Times New Roman"/>
          <w:sz w:val="24"/>
        </w:rPr>
        <w:t xml:space="preserve">the initial contact </w:t>
      </w:r>
      <w:r w:rsidR="00CA2617">
        <w:rPr>
          <w:rFonts w:ascii="Times New Roman" w:hAnsi="Times New Roman"/>
          <w:sz w:val="24"/>
        </w:rPr>
        <w:t>that additional</w:t>
      </w:r>
      <w:r w:rsidR="00187708" w:rsidRPr="00831532">
        <w:rPr>
          <w:rFonts w:ascii="Times New Roman" w:hAnsi="Times New Roman"/>
          <w:sz w:val="24"/>
        </w:rPr>
        <w:t xml:space="preserve"> time is needed</w:t>
      </w:r>
      <w:r w:rsidR="00CA2617">
        <w:rPr>
          <w:rFonts w:ascii="Times New Roman" w:hAnsi="Times New Roman"/>
          <w:sz w:val="24"/>
        </w:rPr>
        <w:t xml:space="preserve"> to assess the victim’s capacity, </w:t>
      </w:r>
      <w:r w:rsidR="00187708" w:rsidRPr="00831532">
        <w:rPr>
          <w:rFonts w:ascii="Times New Roman" w:hAnsi="Times New Roman"/>
          <w:sz w:val="24"/>
        </w:rPr>
        <w:t>staff will contact the</w:t>
      </w:r>
      <w:r w:rsidR="00FC61E2" w:rsidRPr="00831532">
        <w:rPr>
          <w:rFonts w:ascii="Times New Roman" w:hAnsi="Times New Roman"/>
          <w:sz w:val="24"/>
        </w:rPr>
        <w:t xml:space="preserve"> Office of General Counsel</w:t>
      </w:r>
      <w:r w:rsidR="00187708" w:rsidRPr="00831532">
        <w:rPr>
          <w:rFonts w:ascii="Times New Roman" w:hAnsi="Times New Roman"/>
          <w:sz w:val="24"/>
        </w:rPr>
        <w:t xml:space="preserve"> </w:t>
      </w:r>
      <w:r w:rsidR="00FC61E2" w:rsidRPr="00831532">
        <w:rPr>
          <w:rFonts w:ascii="Times New Roman" w:hAnsi="Times New Roman"/>
          <w:sz w:val="24"/>
        </w:rPr>
        <w:t>(OGC)</w:t>
      </w:r>
      <w:r w:rsidR="00187708" w:rsidRPr="00831532">
        <w:rPr>
          <w:rFonts w:ascii="Times New Roman" w:hAnsi="Times New Roman"/>
          <w:sz w:val="24"/>
        </w:rPr>
        <w:t>. OGC may</w:t>
      </w:r>
      <w:r w:rsidR="00CA2617">
        <w:rPr>
          <w:rFonts w:ascii="Times New Roman" w:hAnsi="Times New Roman"/>
          <w:sz w:val="24"/>
        </w:rPr>
        <w:t xml:space="preserve"> obtain a</w:t>
      </w:r>
      <w:r w:rsidR="00FC61E2" w:rsidRPr="00831532">
        <w:rPr>
          <w:rFonts w:ascii="Times New Roman" w:hAnsi="Times New Roman"/>
          <w:sz w:val="24"/>
        </w:rPr>
        <w:t xml:space="preserve"> </w:t>
      </w:r>
      <w:r w:rsidR="00CA2617">
        <w:rPr>
          <w:rFonts w:ascii="Times New Roman" w:hAnsi="Times New Roman"/>
          <w:sz w:val="24"/>
        </w:rPr>
        <w:t xml:space="preserve">court </w:t>
      </w:r>
      <w:r w:rsidR="00FC61E2" w:rsidRPr="00831532">
        <w:rPr>
          <w:rFonts w:ascii="Times New Roman" w:hAnsi="Times New Roman"/>
          <w:sz w:val="24"/>
        </w:rPr>
        <w:t xml:space="preserve">order to hold </w:t>
      </w:r>
      <w:r w:rsidR="00CA2617">
        <w:rPr>
          <w:rFonts w:ascii="Times New Roman" w:hAnsi="Times New Roman"/>
          <w:sz w:val="24"/>
        </w:rPr>
        <w:t>the</w:t>
      </w:r>
      <w:r w:rsidR="00FC61E2" w:rsidRPr="00831532">
        <w:rPr>
          <w:rFonts w:ascii="Times New Roman" w:hAnsi="Times New Roman"/>
          <w:sz w:val="24"/>
        </w:rPr>
        <w:t xml:space="preserve"> transaction</w:t>
      </w:r>
      <w:r w:rsidR="00CA2617">
        <w:rPr>
          <w:rFonts w:ascii="Times New Roman" w:hAnsi="Times New Roman"/>
          <w:sz w:val="24"/>
        </w:rPr>
        <w:t>(s)</w:t>
      </w:r>
      <w:r w:rsidR="00FC61E2" w:rsidRPr="00831532">
        <w:rPr>
          <w:rFonts w:ascii="Times New Roman" w:hAnsi="Times New Roman"/>
          <w:sz w:val="24"/>
        </w:rPr>
        <w:t xml:space="preserve"> </w:t>
      </w:r>
      <w:r w:rsidR="00FC61E2" w:rsidRPr="00831532">
        <w:rPr>
          <w:rFonts w:ascii="Times New Roman" w:hAnsi="Times New Roman"/>
          <w:sz w:val="24"/>
        </w:rPr>
        <w:lastRenderedPageBreak/>
        <w:t>longer than the</w:t>
      </w:r>
      <w:r w:rsidR="00187708" w:rsidRPr="00831532">
        <w:rPr>
          <w:rFonts w:ascii="Times New Roman" w:hAnsi="Times New Roman"/>
          <w:sz w:val="24"/>
        </w:rPr>
        <w:t xml:space="preserve"> ten days allowed under </w:t>
      </w:r>
      <w:r w:rsidR="00E22241" w:rsidRPr="00831532">
        <w:rPr>
          <w:rFonts w:ascii="Times New Roman" w:hAnsi="Times New Roman"/>
          <w:sz w:val="24"/>
        </w:rPr>
        <w:t>the act</w:t>
      </w:r>
      <w:r w:rsidR="00187708" w:rsidRPr="00831532">
        <w:rPr>
          <w:rFonts w:ascii="Times New Roman" w:hAnsi="Times New Roman"/>
          <w:sz w:val="24"/>
        </w:rPr>
        <w:t xml:space="preserve">. </w:t>
      </w:r>
      <w:r w:rsidR="00CA2617">
        <w:rPr>
          <w:rFonts w:ascii="Times New Roman" w:hAnsi="Times New Roman"/>
          <w:sz w:val="24"/>
        </w:rPr>
        <w:t xml:space="preserve">Field staff should contact APS Policy Unit as soon as possible if emergency </w:t>
      </w:r>
      <w:r w:rsidR="001D0E2B">
        <w:rPr>
          <w:rFonts w:ascii="Times New Roman" w:hAnsi="Times New Roman"/>
          <w:sz w:val="24"/>
        </w:rPr>
        <w:t xml:space="preserve">guardianship/conservatorship </w:t>
      </w:r>
      <w:r w:rsidR="00CA2617">
        <w:rPr>
          <w:rFonts w:ascii="Times New Roman" w:hAnsi="Times New Roman"/>
          <w:sz w:val="24"/>
        </w:rPr>
        <w:t xml:space="preserve">is being considered. APS Policy Unit continues to </w:t>
      </w:r>
      <w:r w:rsidR="001D0E2B">
        <w:rPr>
          <w:rFonts w:ascii="Times New Roman" w:hAnsi="Times New Roman"/>
          <w:sz w:val="24"/>
        </w:rPr>
        <w:t>assist OGC on guardianship and conservatorship issues.</w:t>
      </w:r>
    </w:p>
    <w:p w:rsidR="00914545" w:rsidRPr="00300205" w:rsidRDefault="00914545" w:rsidP="005815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300205" w:rsidRDefault="002C489E" w:rsidP="005B0F35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 w:rsidRPr="00300205">
        <w:rPr>
          <w:rFonts w:ascii="Times New Roman" w:hAnsi="Times New Roman"/>
          <w:sz w:val="24"/>
        </w:rPr>
        <w:t xml:space="preserve">Questions or concerns that arise may be directed </w:t>
      </w:r>
      <w:r w:rsidR="00CE4D47" w:rsidRPr="00300205">
        <w:rPr>
          <w:rFonts w:ascii="Times New Roman" w:hAnsi="Times New Roman"/>
          <w:sz w:val="24"/>
        </w:rPr>
        <w:t xml:space="preserve">to the APS Policy Unit email at </w:t>
      </w:r>
      <w:hyperlink r:id="rId11" w:history="1">
        <w:r w:rsidR="00300205" w:rsidRPr="00300205">
          <w:rPr>
            <w:rStyle w:val="Hyperlink"/>
            <w:rFonts w:ascii="Times New Roman" w:hAnsi="Times New Roman"/>
            <w:sz w:val="24"/>
          </w:rPr>
          <w:t>APSPolicy@health.mo.gov</w:t>
        </w:r>
      </w:hyperlink>
      <w:r w:rsidRPr="00300205">
        <w:rPr>
          <w:rFonts w:ascii="Times New Roman" w:hAnsi="Times New Roman"/>
          <w:sz w:val="24"/>
        </w:rPr>
        <w:t xml:space="preserve"> or by calling Amanda Veltrop at 573-526-5391.</w:t>
      </w:r>
    </w:p>
    <w:p w:rsidR="005B0F35" w:rsidRDefault="005B0F35" w:rsidP="00DD66F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5B0F35" w:rsidRPr="00187708" w:rsidRDefault="005B0F35" w:rsidP="00DD66F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58156D" w:rsidRPr="00187708" w:rsidRDefault="002C489E" w:rsidP="00DD66F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187708">
        <w:rPr>
          <w:rFonts w:ascii="Times New Roman" w:hAnsi="Times New Roman"/>
          <w:sz w:val="24"/>
        </w:rPr>
        <w:t>KSS/</w:t>
      </w:r>
      <w:proofErr w:type="spellStart"/>
      <w:r w:rsidR="00187708" w:rsidRPr="00187708">
        <w:rPr>
          <w:rFonts w:ascii="Times New Roman" w:hAnsi="Times New Roman"/>
          <w:sz w:val="24"/>
        </w:rPr>
        <w:t>av</w:t>
      </w:r>
      <w:proofErr w:type="spellEnd"/>
    </w:p>
    <w:sectPr w:rsidR="0058156D" w:rsidRPr="00187708" w:rsidSect="007F5E1A">
      <w:headerReference w:type="first" r:id="rId12"/>
      <w:footerReference w:type="first" r:id="rId13"/>
      <w:pgSz w:w="12240" w:h="15840" w:code="1"/>
      <w:pgMar w:top="720" w:right="720" w:bottom="432" w:left="72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C2" w:rsidRDefault="001243C2">
      <w:r>
        <w:separator/>
      </w:r>
    </w:p>
  </w:endnote>
  <w:endnote w:type="continuationSeparator" w:id="0">
    <w:p w:rsidR="001243C2" w:rsidRDefault="001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BB" w:rsidRDefault="00507E6B" w:rsidP="007F5E1A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hyperlink r:id="rId1" w:history="1">
      <w:r w:rsidR="003A74BB" w:rsidRPr="004A3FAB">
        <w:rPr>
          <w:rStyle w:val="Hyperlink"/>
          <w:b/>
          <w:bCs/>
          <w:sz w:val="14"/>
        </w:rPr>
        <w:t>www.health.mo.gov</w:t>
      </w:r>
    </w:hyperlink>
  </w:p>
  <w:p w:rsidR="003A74BB" w:rsidRDefault="003A74BB" w:rsidP="007F5E1A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</w:p>
  <w:p w:rsidR="003A74BB" w:rsidRDefault="003A74BB" w:rsidP="007F5E1A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r>
      <w:rPr>
        <w:b/>
        <w:bCs/>
        <w:sz w:val="14"/>
      </w:rPr>
      <w:t>Healthy Missourians for life.</w:t>
    </w:r>
  </w:p>
  <w:p w:rsidR="003A74BB" w:rsidRDefault="003A74BB" w:rsidP="007F5E1A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:rsidR="003A74BB" w:rsidRPr="007F5E1A" w:rsidRDefault="003A74BB" w:rsidP="007F5E1A">
    <w:pPr>
      <w:pStyle w:val="Footer"/>
      <w:tabs>
        <w:tab w:val="clear" w:pos="4320"/>
        <w:tab w:val="center" w:pos="4680"/>
      </w:tabs>
      <w:jc w:val="center"/>
      <w:rPr>
        <w:sz w:val="8"/>
        <w:szCs w:val="8"/>
      </w:rPr>
    </w:pPr>
  </w:p>
  <w:p w:rsidR="003A74BB" w:rsidRDefault="003A74BB" w:rsidP="007F5E1A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:rsidR="003A74BB" w:rsidRPr="007F5E1A" w:rsidRDefault="003A74BB" w:rsidP="007F5E1A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C2" w:rsidRDefault="001243C2">
      <w:r>
        <w:separator/>
      </w:r>
    </w:p>
  </w:footnote>
  <w:footnote w:type="continuationSeparator" w:id="0">
    <w:p w:rsidR="001243C2" w:rsidRDefault="0012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6570"/>
      <w:gridCol w:w="1944"/>
    </w:tblGrid>
    <w:tr w:rsidR="003A74BB" w:rsidTr="00A17BAD">
      <w:trPr>
        <w:cantSplit/>
        <w:trHeight w:val="900"/>
      </w:trPr>
      <w:tc>
        <w:tcPr>
          <w:tcW w:w="172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3A74BB" w:rsidRPr="000E40B3" w:rsidRDefault="003A74BB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698484B" wp14:editId="7B1A5350">
                    <wp:simplePos x="0" y="0"/>
                    <wp:positionH relativeFrom="column">
                      <wp:posOffset>13335</wp:posOffset>
                    </wp:positionH>
                    <wp:positionV relativeFrom="paragraph">
                      <wp:posOffset>19050</wp:posOffset>
                    </wp:positionV>
                    <wp:extent cx="1146810" cy="815340"/>
                    <wp:effectExtent l="3810" t="0" r="1905" b="381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6810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74BB" w:rsidRDefault="003A74B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814E9B" wp14:editId="3FB14F66">
                                      <wp:extent cx="857250" cy="723900"/>
                                      <wp:effectExtent l="0" t="0" r="0" b="0"/>
                                      <wp:docPr id="4" name="Picture 4" descr="DHSS Logo Final b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DHSS Logo Final b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725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9848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.05pt;margin-top:1.5pt;width:90.3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WY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" filled="f" stroked="f">
                    <v:textbox style="mso-fit-shape-to-text:t">
                      <w:txbxContent>
                        <w:p w:rsidR="003A74BB" w:rsidRDefault="003A74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14E9B" wp14:editId="3FB14F66">
                                <wp:extent cx="857250" cy="723900"/>
                                <wp:effectExtent l="0" t="0" r="0" b="0"/>
                                <wp:docPr id="4" name="Picture 4" descr="DHSS Logo Final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HSS Logo Final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ab/>
          </w:r>
          <w:r>
            <w:tab/>
          </w:r>
        </w:p>
      </w:tc>
      <w:tc>
        <w:tcPr>
          <w:tcW w:w="65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A74BB" w:rsidRDefault="003A74BB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</w:p>
        <w:p w:rsidR="003A74BB" w:rsidRDefault="003A74BB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:rsidR="003A74BB" w:rsidRDefault="003A74BB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Jefferson City, MO 65102-0570        Phone: 573-751-6400    FAX: 573-751-6010</w:t>
          </w:r>
        </w:p>
        <w:p w:rsidR="003A74BB" w:rsidRDefault="003A74BB" w:rsidP="00A86AB8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 and Voice dial: 711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A74BB" w:rsidRDefault="003A74BB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BFB1DBF" wp14:editId="2BB101A1">
                    <wp:simplePos x="0" y="0"/>
                    <wp:positionH relativeFrom="column">
                      <wp:posOffset>280035</wp:posOffset>
                    </wp:positionH>
                    <wp:positionV relativeFrom="paragraph">
                      <wp:posOffset>-137160</wp:posOffset>
                    </wp:positionV>
                    <wp:extent cx="836295" cy="709930"/>
                    <wp:effectExtent l="0" t="0" r="0" b="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629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74BB" w:rsidRDefault="003A74BB" w:rsidP="00D9015B">
                                <w:pPr>
                                  <w:ind w:hanging="90"/>
                                </w:pPr>
                                <w:r>
                                  <w:rPr>
                                    <w:rFonts w:cs="Arial"/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5B7825F4" wp14:editId="2B54EB11">
                                      <wp:extent cx="657225" cy="657225"/>
                                      <wp:effectExtent l="0" t="0" r="9525" b="9525"/>
                                      <wp:docPr id="6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7225" cy="657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FB1DBF" id="Text Box 6" o:spid="_x0000_s1027" type="#_x0000_t202" style="position:absolute;left:0;text-align:left;margin-left:22.05pt;margin-top:-10.8pt;width:65.85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c8tQIAAL0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" filled="f" stroked="f">
                    <v:textbox>
                      <w:txbxContent>
                        <w:p w:rsidR="003A74BB" w:rsidRDefault="003A74BB" w:rsidP="00D9015B">
                          <w:pPr>
                            <w:ind w:hanging="90"/>
                          </w:pPr>
                          <w:r>
                            <w:rPr>
                              <w:rFonts w:cs="Arial"/>
                              <w:b/>
                              <w:noProof/>
                            </w:rPr>
                            <w:drawing>
                              <wp:inline distT="0" distB="0" distL="0" distR="0" wp14:anchorId="5B7825F4" wp14:editId="2B54EB11">
                                <wp:extent cx="657225" cy="6572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b/>
            </w:rPr>
            <w:t xml:space="preserve"> </w:t>
          </w:r>
        </w:p>
      </w:tc>
    </w:tr>
    <w:tr w:rsidR="003A74BB" w:rsidTr="006D6284">
      <w:trPr>
        <w:cantSplit/>
        <w:trHeight w:val="553"/>
      </w:trPr>
      <w:tc>
        <w:tcPr>
          <w:tcW w:w="1728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:rsidR="003A74BB" w:rsidRDefault="003A74BB">
          <w:pPr>
            <w:pStyle w:val="Header"/>
          </w:pPr>
        </w:p>
      </w:tc>
      <w:tc>
        <w:tcPr>
          <w:tcW w:w="65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74BB" w:rsidRDefault="003A74BB">
          <w:pPr>
            <w:pStyle w:val="Header"/>
            <w:ind w:hanging="108"/>
            <w:rPr>
              <w:b/>
              <w:bCs/>
              <w:sz w:val="4"/>
            </w:rPr>
          </w:pPr>
        </w:p>
        <w:p w:rsidR="003A74BB" w:rsidRDefault="003A74BB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Randall W. Williams, MD, FACOG</w:t>
          </w:r>
        </w:p>
        <w:p w:rsidR="003A74BB" w:rsidRPr="00932D40" w:rsidRDefault="003A74BB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A74BB" w:rsidRDefault="003A74BB" w:rsidP="00995AD8">
          <w:pPr>
            <w:pStyle w:val="Header"/>
            <w:jc w:val="center"/>
            <w:rPr>
              <w:b/>
              <w:bCs/>
              <w:sz w:val="4"/>
            </w:rPr>
          </w:pPr>
        </w:p>
        <w:p w:rsidR="003A74BB" w:rsidRDefault="003A74BB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Michael L. Parson</w:t>
          </w:r>
        </w:p>
        <w:p w:rsidR="003A74BB" w:rsidRDefault="003A74BB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:rsidR="003A74BB" w:rsidRDefault="003A74BB" w:rsidP="00A17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789"/>
    <w:multiLevelType w:val="hybridMultilevel"/>
    <w:tmpl w:val="0332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F1E"/>
    <w:multiLevelType w:val="hybridMultilevel"/>
    <w:tmpl w:val="0270EA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053040"/>
    <w:multiLevelType w:val="hybridMultilevel"/>
    <w:tmpl w:val="6EE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1394"/>
    <w:multiLevelType w:val="hybridMultilevel"/>
    <w:tmpl w:val="EE6421D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FD1151"/>
    <w:multiLevelType w:val="hybridMultilevel"/>
    <w:tmpl w:val="25A2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33A3"/>
    <w:multiLevelType w:val="hybridMultilevel"/>
    <w:tmpl w:val="00B690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0821DE"/>
    <w:multiLevelType w:val="hybridMultilevel"/>
    <w:tmpl w:val="0D7236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F63CD4"/>
    <w:multiLevelType w:val="hybridMultilevel"/>
    <w:tmpl w:val="9A08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1592"/>
    <w:multiLevelType w:val="hybridMultilevel"/>
    <w:tmpl w:val="80165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894BE8"/>
    <w:multiLevelType w:val="hybridMultilevel"/>
    <w:tmpl w:val="7A26A0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B390D54"/>
    <w:multiLevelType w:val="hybridMultilevel"/>
    <w:tmpl w:val="6AC6BA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013AE"/>
    <w:multiLevelType w:val="hybridMultilevel"/>
    <w:tmpl w:val="779C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71878"/>
    <w:multiLevelType w:val="hybridMultilevel"/>
    <w:tmpl w:val="51F22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A0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9607E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05073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88B2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38255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1E63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4200A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BB440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B3"/>
    <w:rsid w:val="00005F55"/>
    <w:rsid w:val="00020CC5"/>
    <w:rsid w:val="00046F25"/>
    <w:rsid w:val="00052C63"/>
    <w:rsid w:val="00067267"/>
    <w:rsid w:val="000E40B3"/>
    <w:rsid w:val="00105609"/>
    <w:rsid w:val="001066CF"/>
    <w:rsid w:val="0012324F"/>
    <w:rsid w:val="001243C2"/>
    <w:rsid w:val="001359F0"/>
    <w:rsid w:val="0014577B"/>
    <w:rsid w:val="00150FA7"/>
    <w:rsid w:val="00161B85"/>
    <w:rsid w:val="00174334"/>
    <w:rsid w:val="00187708"/>
    <w:rsid w:val="001A3A65"/>
    <w:rsid w:val="001D0E2B"/>
    <w:rsid w:val="001E1C2F"/>
    <w:rsid w:val="002030DE"/>
    <w:rsid w:val="002406E5"/>
    <w:rsid w:val="002718D1"/>
    <w:rsid w:val="00283F3A"/>
    <w:rsid w:val="002848E7"/>
    <w:rsid w:val="002A7DEF"/>
    <w:rsid w:val="002C3B42"/>
    <w:rsid w:val="002C489E"/>
    <w:rsid w:val="002D1B98"/>
    <w:rsid w:val="00300205"/>
    <w:rsid w:val="003215FA"/>
    <w:rsid w:val="00367CB9"/>
    <w:rsid w:val="003A74BB"/>
    <w:rsid w:val="003F03CB"/>
    <w:rsid w:val="00482914"/>
    <w:rsid w:val="004A415D"/>
    <w:rsid w:val="004E222E"/>
    <w:rsid w:val="004E68ED"/>
    <w:rsid w:val="00505E51"/>
    <w:rsid w:val="00507E6B"/>
    <w:rsid w:val="00510AB1"/>
    <w:rsid w:val="00517C98"/>
    <w:rsid w:val="005373D0"/>
    <w:rsid w:val="00574C4D"/>
    <w:rsid w:val="005765EA"/>
    <w:rsid w:val="0058156D"/>
    <w:rsid w:val="00593F5B"/>
    <w:rsid w:val="005B0F35"/>
    <w:rsid w:val="00606F7D"/>
    <w:rsid w:val="00625D15"/>
    <w:rsid w:val="00625DE3"/>
    <w:rsid w:val="00634950"/>
    <w:rsid w:val="00637F2D"/>
    <w:rsid w:val="00690D37"/>
    <w:rsid w:val="00696A6F"/>
    <w:rsid w:val="006B0590"/>
    <w:rsid w:val="006B0D58"/>
    <w:rsid w:val="006B1E1F"/>
    <w:rsid w:val="006C612E"/>
    <w:rsid w:val="006D6284"/>
    <w:rsid w:val="006E3AFA"/>
    <w:rsid w:val="006E630E"/>
    <w:rsid w:val="006F405C"/>
    <w:rsid w:val="00705B6C"/>
    <w:rsid w:val="00712F27"/>
    <w:rsid w:val="00742E0F"/>
    <w:rsid w:val="00744AD3"/>
    <w:rsid w:val="0074519C"/>
    <w:rsid w:val="007E64FA"/>
    <w:rsid w:val="007F129A"/>
    <w:rsid w:val="007F5E1A"/>
    <w:rsid w:val="00831532"/>
    <w:rsid w:val="008651CE"/>
    <w:rsid w:val="008C2017"/>
    <w:rsid w:val="008C2F9B"/>
    <w:rsid w:val="008C5977"/>
    <w:rsid w:val="00914545"/>
    <w:rsid w:val="00925C1D"/>
    <w:rsid w:val="00932D40"/>
    <w:rsid w:val="00935266"/>
    <w:rsid w:val="0099016B"/>
    <w:rsid w:val="00995AD8"/>
    <w:rsid w:val="009A06D5"/>
    <w:rsid w:val="009A2842"/>
    <w:rsid w:val="009A4525"/>
    <w:rsid w:val="009C3AA7"/>
    <w:rsid w:val="009C4DA7"/>
    <w:rsid w:val="009D0503"/>
    <w:rsid w:val="009F77F6"/>
    <w:rsid w:val="00A153B8"/>
    <w:rsid w:val="00A169A6"/>
    <w:rsid w:val="00A17BAD"/>
    <w:rsid w:val="00A31A2C"/>
    <w:rsid w:val="00A86AB8"/>
    <w:rsid w:val="00A924BE"/>
    <w:rsid w:val="00AF49BD"/>
    <w:rsid w:val="00B070FB"/>
    <w:rsid w:val="00B7325B"/>
    <w:rsid w:val="00B872A2"/>
    <w:rsid w:val="00B87590"/>
    <w:rsid w:val="00BA1427"/>
    <w:rsid w:val="00BB3C1D"/>
    <w:rsid w:val="00BF2181"/>
    <w:rsid w:val="00C421B5"/>
    <w:rsid w:val="00C81356"/>
    <w:rsid w:val="00C82DB2"/>
    <w:rsid w:val="00C879E6"/>
    <w:rsid w:val="00CA0AD6"/>
    <w:rsid w:val="00CA0D66"/>
    <w:rsid w:val="00CA2617"/>
    <w:rsid w:val="00CC69BD"/>
    <w:rsid w:val="00CD01F0"/>
    <w:rsid w:val="00CE4D47"/>
    <w:rsid w:val="00CF160C"/>
    <w:rsid w:val="00D03C1E"/>
    <w:rsid w:val="00D17E30"/>
    <w:rsid w:val="00D31334"/>
    <w:rsid w:val="00D9015B"/>
    <w:rsid w:val="00DA6ACD"/>
    <w:rsid w:val="00DB0051"/>
    <w:rsid w:val="00DC5AA4"/>
    <w:rsid w:val="00DD66FB"/>
    <w:rsid w:val="00E02FBA"/>
    <w:rsid w:val="00E03103"/>
    <w:rsid w:val="00E10E41"/>
    <w:rsid w:val="00E22241"/>
    <w:rsid w:val="00E2317F"/>
    <w:rsid w:val="00E60113"/>
    <w:rsid w:val="00E7031E"/>
    <w:rsid w:val="00E70751"/>
    <w:rsid w:val="00EA6281"/>
    <w:rsid w:val="00EA6CF9"/>
    <w:rsid w:val="00EC650D"/>
    <w:rsid w:val="00F15316"/>
    <w:rsid w:val="00F44F9E"/>
    <w:rsid w:val="00F66015"/>
    <w:rsid w:val="00F80454"/>
    <w:rsid w:val="00FC61E2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0A091F9-3406-483D-AE25-9E728ABC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5815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Text">
    <w:name w:val="Default Text"/>
    <w:basedOn w:val="Normal"/>
    <w:rsid w:val="0058156D"/>
    <w:pPr>
      <w:autoSpaceDE w:val="0"/>
      <w:autoSpaceDN w:val="0"/>
      <w:adjustRightInd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SPolicy@health.mo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rokercheck.finr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mo.gov/seniors/apsmanual/doc/PSEM-16-02.do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mo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75B6-72F5-4FDF-B16E-6F97843E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3069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Randall, Yvette</dc:creator>
  <cp:lastModifiedBy>Clark, Jody</cp:lastModifiedBy>
  <cp:revision>2</cp:revision>
  <cp:lastPrinted>2017-11-02T14:20:00Z</cp:lastPrinted>
  <dcterms:created xsi:type="dcterms:W3CDTF">2018-12-14T22:24:00Z</dcterms:created>
  <dcterms:modified xsi:type="dcterms:W3CDTF">2018-12-14T22:24:00Z</dcterms:modified>
</cp:coreProperties>
</file>