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35" w:rsidRDefault="002A694D" w:rsidP="007F0335">
      <w:pPr>
        <w:pStyle w:val="Header"/>
        <w:tabs>
          <w:tab w:val="clear" w:pos="4320"/>
          <w:tab w:val="clear" w:pos="8640"/>
        </w:tabs>
        <w:jc w:val="right"/>
        <w:rPr>
          <w:rFonts w:ascii="Times New Roman" w:hAnsi="Times New Roman"/>
          <w:sz w:val="24"/>
        </w:rPr>
      </w:pPr>
      <w:bookmarkStart w:id="0" w:name="_GoBack"/>
      <w:bookmarkEnd w:id="0"/>
      <w:r>
        <w:rPr>
          <w:rFonts w:ascii="Times New Roman" w:hAnsi="Times New Roman"/>
          <w:sz w:val="24"/>
        </w:rPr>
        <w:t>PSEM</w:t>
      </w:r>
      <w:r w:rsidR="00367F86">
        <w:rPr>
          <w:rFonts w:ascii="Times New Roman" w:hAnsi="Times New Roman"/>
          <w:sz w:val="24"/>
        </w:rPr>
        <w:t xml:space="preserve"> </w:t>
      </w:r>
      <w:r>
        <w:rPr>
          <w:rFonts w:ascii="Times New Roman" w:hAnsi="Times New Roman"/>
          <w:sz w:val="24"/>
        </w:rPr>
        <w:t>18-</w:t>
      </w:r>
      <w:r w:rsidR="00367F86">
        <w:rPr>
          <w:rFonts w:ascii="Times New Roman" w:hAnsi="Times New Roman"/>
          <w:sz w:val="24"/>
        </w:rPr>
        <w:t>17</w:t>
      </w:r>
    </w:p>
    <w:p w:rsidR="007F0335" w:rsidRDefault="007F0335" w:rsidP="007F0335">
      <w:pPr>
        <w:pStyle w:val="Header"/>
        <w:tabs>
          <w:tab w:val="clear" w:pos="4320"/>
          <w:tab w:val="clear" w:pos="8640"/>
        </w:tabs>
        <w:jc w:val="right"/>
        <w:rPr>
          <w:rFonts w:ascii="Times New Roman" w:hAnsi="Times New Roman"/>
          <w:sz w:val="24"/>
        </w:rPr>
      </w:pPr>
    </w:p>
    <w:p w:rsidR="007F0335" w:rsidRDefault="00704C2A" w:rsidP="007F0335">
      <w:pPr>
        <w:pStyle w:val="Header"/>
        <w:tabs>
          <w:tab w:val="clear" w:pos="4320"/>
          <w:tab w:val="clear" w:pos="8640"/>
        </w:tabs>
        <w:jc w:val="center"/>
        <w:rPr>
          <w:rFonts w:ascii="Times New Roman" w:hAnsi="Times New Roman"/>
          <w:sz w:val="24"/>
        </w:rPr>
      </w:pPr>
      <w:r>
        <w:rPr>
          <w:rFonts w:ascii="Times New Roman" w:hAnsi="Times New Roman"/>
          <w:sz w:val="24"/>
        </w:rPr>
        <w:t>November 9</w:t>
      </w:r>
      <w:r w:rsidR="007F0335">
        <w:rPr>
          <w:rFonts w:ascii="Times New Roman" w:hAnsi="Times New Roman"/>
          <w:sz w:val="24"/>
        </w:rPr>
        <w:t>, 2018</w:t>
      </w:r>
    </w:p>
    <w:p w:rsidR="007F0335" w:rsidRDefault="007F0335" w:rsidP="007F0335">
      <w:pPr>
        <w:pStyle w:val="Header"/>
        <w:tabs>
          <w:tab w:val="clear" w:pos="4320"/>
          <w:tab w:val="clear" w:pos="8640"/>
        </w:tabs>
        <w:jc w:val="center"/>
        <w:rPr>
          <w:rFonts w:ascii="Times New Roman" w:hAnsi="Times New Roman"/>
          <w:sz w:val="24"/>
        </w:rPr>
      </w:pPr>
    </w:p>
    <w:p w:rsidR="007F0335" w:rsidRDefault="007F0335" w:rsidP="007F0335">
      <w:pPr>
        <w:pStyle w:val="Header"/>
        <w:tabs>
          <w:tab w:val="clear" w:pos="4320"/>
          <w:tab w:val="clear" w:pos="8640"/>
        </w:tabs>
        <w:rPr>
          <w:rFonts w:ascii="Times New Roman" w:hAnsi="Times New Roman"/>
          <w:sz w:val="24"/>
        </w:rPr>
      </w:pPr>
    </w:p>
    <w:p w:rsidR="007F0335" w:rsidRDefault="007F0335" w:rsidP="007F0335">
      <w:pPr>
        <w:pStyle w:val="Header"/>
        <w:tabs>
          <w:tab w:val="clear" w:pos="4320"/>
          <w:tab w:val="clear" w:pos="8640"/>
        </w:tabs>
        <w:rPr>
          <w:rFonts w:ascii="Times New Roman" w:hAnsi="Times New Roman"/>
          <w:sz w:val="24"/>
        </w:rPr>
      </w:pPr>
      <w:r>
        <w:rPr>
          <w:rFonts w:ascii="Times New Roman" w:hAnsi="Times New Roman"/>
          <w:sz w:val="24"/>
        </w:rPr>
        <w:t>MEMORANDUM FOR HOME AND COMMUNITY SERVICES FIELD STAFF</w:t>
      </w:r>
    </w:p>
    <w:p w:rsidR="007F0335" w:rsidRDefault="007F0335" w:rsidP="007F0335">
      <w:pPr>
        <w:pStyle w:val="Header"/>
        <w:tabs>
          <w:tab w:val="clear" w:pos="4320"/>
          <w:tab w:val="clear" w:pos="8640"/>
        </w:tabs>
        <w:rPr>
          <w:rFonts w:ascii="Times New Roman" w:hAnsi="Times New Roman"/>
          <w:sz w:val="24"/>
        </w:rPr>
      </w:pPr>
      <w:r>
        <w:rPr>
          <w:noProof/>
        </w:rPr>
        <w:drawing>
          <wp:anchor distT="0" distB="0" distL="114300" distR="114300" simplePos="0" relativeHeight="251659264" behindDoc="0" locked="0" layoutInCell="1" allowOverlap="1">
            <wp:simplePos x="0" y="0"/>
            <wp:positionH relativeFrom="column">
              <wp:posOffset>3228975</wp:posOffset>
            </wp:positionH>
            <wp:positionV relativeFrom="paragraph">
              <wp:posOffset>68580</wp:posOffset>
            </wp:positionV>
            <wp:extent cx="1591945" cy="314325"/>
            <wp:effectExtent l="0" t="0" r="8255" b="9525"/>
            <wp:wrapNone/>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From:</w:t>
      </w:r>
      <w:r w:rsidRPr="00EE6C83">
        <w:rPr>
          <w:rFonts w:ascii="Times New Roman" w:hAnsi="Times New Roman"/>
          <w:sz w:val="24"/>
        </w:rPr>
        <w:tab/>
      </w:r>
      <w:r w:rsidRPr="00EE6C83">
        <w:rPr>
          <w:rFonts w:ascii="Times New Roman" w:hAnsi="Times New Roman"/>
          <w:sz w:val="24"/>
        </w:rPr>
        <w:tab/>
        <w:t>Waunita Schwandtner, Bureau Chief</w:t>
      </w:r>
      <w:r w:rsidRPr="00EE6C83">
        <w:rPr>
          <w:rFonts w:ascii="Times New Roman" w:hAnsi="Times New Roman"/>
          <w:sz w:val="24"/>
        </w:rPr>
        <w:tab/>
      </w:r>
      <w:r w:rsidRPr="00EE6C83">
        <w:rPr>
          <w:rFonts w:ascii="Times New Roman" w:hAnsi="Times New Roman"/>
          <w:sz w:val="24"/>
        </w:rPr>
        <w:tab/>
      </w: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ab/>
      </w:r>
      <w:r w:rsidRPr="00EE6C83">
        <w:rPr>
          <w:rFonts w:ascii="Times New Roman" w:hAnsi="Times New Roman"/>
          <w:sz w:val="24"/>
        </w:rPr>
        <w:tab/>
        <w:t xml:space="preserve">Bureau of </w:t>
      </w:r>
      <w:r w:rsidR="008F6909">
        <w:rPr>
          <w:rFonts w:ascii="Times New Roman" w:hAnsi="Times New Roman"/>
          <w:sz w:val="24"/>
        </w:rPr>
        <w:t xml:space="preserve">APS </w:t>
      </w:r>
      <w:r w:rsidRPr="00EE6C83">
        <w:rPr>
          <w:rFonts w:ascii="Times New Roman" w:hAnsi="Times New Roman"/>
          <w:sz w:val="24"/>
        </w:rPr>
        <w:t>Automation, Data Analysis and Training</w:t>
      </w:r>
    </w:p>
    <w:p w:rsidR="007F0335" w:rsidRPr="00EE6C83" w:rsidRDefault="007F0335" w:rsidP="007F0335">
      <w:pPr>
        <w:pStyle w:val="Header"/>
        <w:tabs>
          <w:tab w:val="clear" w:pos="4320"/>
          <w:tab w:val="clear" w:pos="8640"/>
        </w:tabs>
        <w:rPr>
          <w:rFonts w:ascii="Times New Roman" w:hAnsi="Times New Roman"/>
          <w:sz w:val="24"/>
        </w:rPr>
      </w:pP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Subj</w:t>
      </w:r>
      <w:r w:rsidR="00F4303E">
        <w:rPr>
          <w:rFonts w:ascii="Times New Roman" w:hAnsi="Times New Roman"/>
          <w:sz w:val="24"/>
        </w:rPr>
        <w:t>ect:</w:t>
      </w:r>
      <w:r w:rsidR="00F4303E">
        <w:rPr>
          <w:rFonts w:ascii="Times New Roman" w:hAnsi="Times New Roman"/>
          <w:sz w:val="24"/>
        </w:rPr>
        <w:tab/>
        <w:t>MO Case Compass Enhancement</w:t>
      </w:r>
      <w:r w:rsidRPr="00EE6C83">
        <w:rPr>
          <w:rFonts w:ascii="Times New Roman" w:hAnsi="Times New Roman"/>
          <w:sz w:val="24"/>
        </w:rPr>
        <w:t xml:space="preserve"> Release 4.</w:t>
      </w:r>
      <w:r w:rsidR="00F4303E">
        <w:rPr>
          <w:rFonts w:ascii="Times New Roman" w:hAnsi="Times New Roman"/>
          <w:sz w:val="24"/>
        </w:rPr>
        <w:t>8.4</w:t>
      </w:r>
    </w:p>
    <w:p w:rsidR="007F0335" w:rsidRPr="00EE6C83" w:rsidRDefault="007F0335" w:rsidP="007F0335">
      <w:pPr>
        <w:pStyle w:val="Header"/>
        <w:tabs>
          <w:tab w:val="clear" w:pos="4320"/>
          <w:tab w:val="clear" w:pos="8640"/>
        </w:tabs>
        <w:rPr>
          <w:rFonts w:ascii="Times New Roman" w:hAnsi="Times New Roman"/>
          <w:sz w:val="24"/>
        </w:rPr>
      </w:pPr>
    </w:p>
    <w:p w:rsidR="00DA67B8" w:rsidRDefault="00F4303E" w:rsidP="007F0335">
      <w:pPr>
        <w:pStyle w:val="Header"/>
        <w:tabs>
          <w:tab w:val="clear" w:pos="4320"/>
          <w:tab w:val="clear" w:pos="8640"/>
        </w:tabs>
        <w:rPr>
          <w:rFonts w:ascii="Times New Roman" w:hAnsi="Times New Roman"/>
          <w:sz w:val="24"/>
        </w:rPr>
      </w:pPr>
      <w:r>
        <w:rPr>
          <w:rFonts w:ascii="Times New Roman" w:hAnsi="Times New Roman"/>
          <w:sz w:val="24"/>
        </w:rPr>
        <w:t>Case Compass Enhancement</w:t>
      </w:r>
      <w:r w:rsidR="007F0335" w:rsidRPr="00EE6C83">
        <w:rPr>
          <w:rFonts w:ascii="Times New Roman" w:hAnsi="Times New Roman"/>
          <w:sz w:val="24"/>
        </w:rPr>
        <w:t xml:space="preserve"> Release 4.</w:t>
      </w:r>
      <w:r>
        <w:rPr>
          <w:rFonts w:ascii="Times New Roman" w:hAnsi="Times New Roman"/>
          <w:sz w:val="24"/>
        </w:rPr>
        <w:t>8.4</w:t>
      </w:r>
      <w:r w:rsidR="007F0335" w:rsidRPr="00EE6C83">
        <w:rPr>
          <w:rFonts w:ascii="Times New Roman" w:hAnsi="Times New Roman"/>
          <w:sz w:val="24"/>
        </w:rPr>
        <w:t xml:space="preserve"> includes the </w:t>
      </w:r>
      <w:r w:rsidR="00720C92">
        <w:rPr>
          <w:rFonts w:ascii="Times New Roman" w:hAnsi="Times New Roman"/>
          <w:sz w:val="24"/>
        </w:rPr>
        <w:t>introduction of a new Intervention Tab inside specific work actions in Case Compass, including ANE Class Is, ANE Class IIs and PS cases. On this tab, users will be able to data enter information about the “Services and Interventions”</w:t>
      </w:r>
      <w:r w:rsidR="00FC5407">
        <w:rPr>
          <w:rFonts w:ascii="Times New Roman" w:hAnsi="Times New Roman"/>
          <w:sz w:val="24"/>
        </w:rPr>
        <w:t xml:space="preserve"> </w:t>
      </w:r>
      <w:r w:rsidR="00394EF9">
        <w:rPr>
          <w:rFonts w:ascii="Times New Roman" w:hAnsi="Times New Roman"/>
          <w:sz w:val="24"/>
        </w:rPr>
        <w:t xml:space="preserve">utilized </w:t>
      </w:r>
      <w:r w:rsidR="00FC5407">
        <w:rPr>
          <w:rFonts w:ascii="Times New Roman" w:hAnsi="Times New Roman"/>
          <w:sz w:val="24"/>
        </w:rPr>
        <w:t>specific to each client</w:t>
      </w:r>
      <w:r w:rsidR="00394EF9">
        <w:rPr>
          <w:rFonts w:ascii="Times New Roman" w:hAnsi="Times New Roman"/>
          <w:sz w:val="24"/>
        </w:rPr>
        <w:t xml:space="preserve">, which over time will allow </w:t>
      </w:r>
      <w:r w:rsidR="00FC5407">
        <w:rPr>
          <w:rFonts w:ascii="Times New Roman" w:hAnsi="Times New Roman"/>
          <w:sz w:val="24"/>
        </w:rPr>
        <w:t xml:space="preserve">our Division to better understand the needs of our population as a whole.  </w:t>
      </w:r>
      <w:r w:rsidR="002C0615">
        <w:rPr>
          <w:rFonts w:ascii="Times New Roman" w:hAnsi="Times New Roman"/>
          <w:sz w:val="24"/>
        </w:rPr>
        <w:t xml:space="preserve">The Intervention Tab should be used on any open ANE Class Is, ANE Class IIs and/or PS cases. </w:t>
      </w:r>
      <w:r w:rsidR="00FC5407">
        <w:rPr>
          <w:rFonts w:ascii="Times New Roman" w:hAnsi="Times New Roman"/>
          <w:sz w:val="24"/>
        </w:rPr>
        <w:t xml:space="preserve">Training regarding this new feature was provided </w:t>
      </w:r>
      <w:r w:rsidR="00394EF9">
        <w:rPr>
          <w:rFonts w:ascii="Times New Roman" w:hAnsi="Times New Roman"/>
          <w:sz w:val="24"/>
        </w:rPr>
        <w:t>statewide</w:t>
      </w:r>
      <w:r w:rsidR="00FC5407">
        <w:rPr>
          <w:rFonts w:ascii="Times New Roman" w:hAnsi="Times New Roman"/>
          <w:sz w:val="24"/>
        </w:rPr>
        <w:t xml:space="preserve"> </w:t>
      </w:r>
      <w:r w:rsidR="00394EF9">
        <w:rPr>
          <w:rFonts w:ascii="Times New Roman" w:hAnsi="Times New Roman"/>
          <w:sz w:val="24"/>
        </w:rPr>
        <w:t xml:space="preserve">to APS staff from </w:t>
      </w:r>
      <w:r w:rsidR="00FC5407">
        <w:rPr>
          <w:rFonts w:ascii="Times New Roman" w:hAnsi="Times New Roman"/>
          <w:sz w:val="24"/>
        </w:rPr>
        <w:t>September 24</w:t>
      </w:r>
      <w:r w:rsidR="00FC5407" w:rsidRPr="00FC5407">
        <w:rPr>
          <w:rFonts w:ascii="Times New Roman" w:hAnsi="Times New Roman"/>
          <w:sz w:val="24"/>
          <w:vertAlign w:val="superscript"/>
        </w:rPr>
        <w:t>th</w:t>
      </w:r>
      <w:r w:rsidR="00FC5407">
        <w:rPr>
          <w:rFonts w:ascii="Times New Roman" w:hAnsi="Times New Roman"/>
          <w:sz w:val="24"/>
        </w:rPr>
        <w:t>, 2018 through October 18</w:t>
      </w:r>
      <w:r w:rsidR="00FC5407" w:rsidRPr="00FC5407">
        <w:rPr>
          <w:rFonts w:ascii="Times New Roman" w:hAnsi="Times New Roman"/>
          <w:sz w:val="24"/>
          <w:vertAlign w:val="superscript"/>
        </w:rPr>
        <w:t>th</w:t>
      </w:r>
      <w:r w:rsidR="00FC5407">
        <w:rPr>
          <w:rFonts w:ascii="Times New Roman" w:hAnsi="Times New Roman"/>
          <w:sz w:val="24"/>
        </w:rPr>
        <w:t>, 2018.</w:t>
      </w:r>
      <w:r w:rsidR="00221F64">
        <w:rPr>
          <w:rFonts w:ascii="Times New Roman" w:hAnsi="Times New Roman"/>
          <w:sz w:val="24"/>
        </w:rPr>
        <w:t xml:space="preserve">  </w:t>
      </w:r>
    </w:p>
    <w:p w:rsidR="002C0615" w:rsidRPr="00EE6C83" w:rsidRDefault="002C0615" w:rsidP="007F0335">
      <w:pPr>
        <w:pStyle w:val="Header"/>
        <w:tabs>
          <w:tab w:val="clear" w:pos="4320"/>
          <w:tab w:val="clear" w:pos="8640"/>
        </w:tabs>
        <w:rPr>
          <w:rFonts w:ascii="Times New Roman" w:hAnsi="Times New Roman"/>
          <w:sz w:val="24"/>
        </w:rPr>
      </w:pP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 xml:space="preserve">Any questions regarding this release should be directed to Candy Bohannan, Case Compass Project Coordinator at </w:t>
      </w:r>
      <w:hyperlink r:id="rId9" w:history="1">
        <w:r w:rsidRPr="00EE6C83">
          <w:rPr>
            <w:rStyle w:val="Hyperlink"/>
            <w:rFonts w:ascii="Times New Roman" w:hAnsi="Times New Roman"/>
            <w:sz w:val="24"/>
          </w:rPr>
          <w:t>Candy.Bohannan@health.mo.gov</w:t>
        </w:r>
      </w:hyperlink>
      <w:r w:rsidRPr="00EE6C83">
        <w:rPr>
          <w:rFonts w:ascii="Times New Roman" w:hAnsi="Times New Roman"/>
          <w:sz w:val="24"/>
        </w:rPr>
        <w:t xml:space="preserve"> .</w:t>
      </w:r>
    </w:p>
    <w:p w:rsidR="007F0335" w:rsidRPr="00EE6C83" w:rsidRDefault="007F0335" w:rsidP="007F0335">
      <w:pPr>
        <w:pStyle w:val="Header"/>
        <w:tabs>
          <w:tab w:val="clear" w:pos="4320"/>
          <w:tab w:val="clear" w:pos="8640"/>
        </w:tabs>
        <w:rPr>
          <w:rFonts w:ascii="Times New Roman" w:hAnsi="Times New Roman"/>
          <w:sz w:val="24"/>
        </w:rPr>
      </w:pPr>
    </w:p>
    <w:p w:rsidR="007F0335" w:rsidRPr="00EE6C83" w:rsidRDefault="007F0335" w:rsidP="007F0335">
      <w:pPr>
        <w:pStyle w:val="Header"/>
        <w:tabs>
          <w:tab w:val="clear" w:pos="4320"/>
          <w:tab w:val="clear" w:pos="8640"/>
        </w:tabs>
        <w:rPr>
          <w:rFonts w:ascii="Times New Roman" w:hAnsi="Times New Roman"/>
          <w:sz w:val="24"/>
        </w:rPr>
      </w:pPr>
    </w:p>
    <w:p w:rsidR="007F0335" w:rsidRPr="00EE6C83" w:rsidRDefault="007F0335" w:rsidP="007F0335">
      <w:pPr>
        <w:pStyle w:val="Header"/>
        <w:tabs>
          <w:tab w:val="clear" w:pos="4320"/>
          <w:tab w:val="clear" w:pos="8640"/>
        </w:tabs>
        <w:rPr>
          <w:rFonts w:ascii="Times New Roman" w:hAnsi="Times New Roman"/>
          <w:sz w:val="24"/>
        </w:rPr>
      </w:pP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WJAS</w:t>
      </w:r>
      <w:r w:rsidR="00683F7D">
        <w:rPr>
          <w:rFonts w:ascii="Times New Roman" w:hAnsi="Times New Roman"/>
          <w:sz w:val="24"/>
        </w:rPr>
        <w:t>/CMB</w:t>
      </w:r>
    </w:p>
    <w:p w:rsidR="007F0335" w:rsidRPr="00EE6C83" w:rsidRDefault="007F0335" w:rsidP="007F0335">
      <w:pPr>
        <w:pStyle w:val="Header"/>
        <w:tabs>
          <w:tab w:val="clear" w:pos="4320"/>
          <w:tab w:val="clear" w:pos="8640"/>
        </w:tabs>
        <w:rPr>
          <w:rFonts w:ascii="Times New Roman" w:hAnsi="Times New Roman"/>
          <w:sz w:val="24"/>
        </w:rPr>
      </w:pPr>
      <w:r w:rsidRPr="00EE6C83">
        <w:rPr>
          <w:rFonts w:ascii="Times New Roman" w:hAnsi="Times New Roman"/>
          <w:sz w:val="24"/>
        </w:rPr>
        <w:t>CC: Distribution List 2</w:t>
      </w:r>
    </w:p>
    <w:p w:rsidR="00B7325B" w:rsidRPr="0012324F" w:rsidRDefault="00B7325B" w:rsidP="0012324F"/>
    <w:sectPr w:rsidR="00B7325B" w:rsidRPr="0012324F" w:rsidSect="00E10E41">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0D" w:rsidRDefault="00A53F0D">
      <w:r>
        <w:separator/>
      </w:r>
    </w:p>
  </w:endnote>
  <w:endnote w:type="continuationSeparator" w:id="0">
    <w:p w:rsidR="00A53F0D" w:rsidRDefault="00A5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3F03CB">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5" w:rsidRDefault="00543AA1">
    <w:pPr>
      <w:pStyle w:val="Footer"/>
      <w:tabs>
        <w:tab w:val="clear" w:pos="4320"/>
        <w:tab w:val="center" w:pos="4680"/>
      </w:tabs>
      <w:jc w:val="center"/>
      <w:rPr>
        <w:b/>
        <w:bCs/>
        <w:sz w:val="14"/>
      </w:rPr>
    </w:pPr>
    <w:hyperlink r:id="rId1" w:history="1">
      <w:r w:rsidR="00C82DB2" w:rsidRPr="004A3FAB">
        <w:rPr>
          <w:rStyle w:val="Hyperlink"/>
          <w:b/>
          <w:bCs/>
          <w:sz w:val="14"/>
        </w:rPr>
        <w:t>www.health.mo.gov</w:t>
      </w:r>
    </w:hyperlink>
  </w:p>
  <w:p w:rsidR="00005F55" w:rsidRDefault="00005F55">
    <w:pPr>
      <w:pStyle w:val="Footer"/>
      <w:tabs>
        <w:tab w:val="clear" w:pos="4320"/>
        <w:tab w:val="center" w:pos="4680"/>
      </w:tabs>
      <w:jc w:val="center"/>
      <w:rPr>
        <w:b/>
        <w:bCs/>
        <w:sz w:val="14"/>
      </w:rPr>
    </w:pPr>
  </w:p>
  <w:p w:rsidR="00005F55" w:rsidRDefault="003F03CB">
    <w:pPr>
      <w:pStyle w:val="Footer"/>
      <w:tabs>
        <w:tab w:val="clear" w:pos="4320"/>
        <w:tab w:val="center" w:pos="4680"/>
      </w:tabs>
      <w:jc w:val="center"/>
      <w:rPr>
        <w:b/>
        <w:bCs/>
        <w:sz w:val="14"/>
      </w:rPr>
    </w:pPr>
    <w:r>
      <w:rPr>
        <w:b/>
        <w:bCs/>
        <w:sz w:val="14"/>
      </w:rPr>
      <w:t>Healthy Missourians for life.</w:t>
    </w:r>
  </w:p>
  <w:p w:rsidR="00005F55" w:rsidRDefault="003F03CB">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05F55" w:rsidRDefault="00005F55">
    <w:pPr>
      <w:pStyle w:val="Footer"/>
      <w:tabs>
        <w:tab w:val="clear" w:pos="4320"/>
        <w:tab w:val="center" w:pos="4680"/>
      </w:tabs>
      <w:jc w:val="center"/>
      <w:rPr>
        <w:sz w:val="15"/>
      </w:rPr>
    </w:pPr>
  </w:p>
  <w:p w:rsidR="00005F55" w:rsidRDefault="00005F55">
    <w:pPr>
      <w:pStyle w:val="Footer"/>
      <w:tabs>
        <w:tab w:val="clear" w:pos="4320"/>
        <w:tab w:val="center" w:pos="4680"/>
      </w:tabs>
      <w:jc w:val="center"/>
      <w:rPr>
        <w:sz w:val="4"/>
      </w:rPr>
    </w:pPr>
  </w:p>
  <w:p w:rsidR="00005F55" w:rsidRDefault="003F03CB">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05F55" w:rsidRDefault="0000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0D" w:rsidRDefault="00A53F0D">
      <w:r>
        <w:separator/>
      </w:r>
    </w:p>
  </w:footnote>
  <w:footnote w:type="continuationSeparator" w:id="0">
    <w:p w:rsidR="00A53F0D" w:rsidRDefault="00A5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05F55" w:rsidTr="00A17BAD">
      <w:trPr>
        <w:cantSplit/>
        <w:trHeight w:val="900"/>
      </w:trPr>
      <w:tc>
        <w:tcPr>
          <w:tcW w:w="1728" w:type="dxa"/>
          <w:vMerge w:val="restart"/>
          <w:tcBorders>
            <w:top w:val="nil"/>
            <w:left w:val="nil"/>
            <w:bottom w:val="single" w:sz="4" w:space="0" w:color="auto"/>
            <w:right w:val="nil"/>
          </w:tcBorders>
        </w:tcPr>
        <w:p w:rsidR="00005F55" w:rsidRPr="000E40B3" w:rsidRDefault="00F733BE"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F0" w:rsidRDefault="00F733BE">
                                <w:r>
                                  <w:rPr>
                                    <w:noProof/>
                                  </w:rPr>
                                  <w:drawing>
                                    <wp:inline distT="0" distB="0" distL="0" distR="0">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1359F0" w:rsidRDefault="00F733BE">
                          <w:r>
                            <w:rPr>
                              <w:noProof/>
                            </w:rPr>
                            <w:drawing>
                              <wp:inline distT="0" distB="0" distL="0" distR="0">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rsidR="008C2017">
            <w:tab/>
          </w:r>
          <w:r w:rsidR="008C2017">
            <w:tab/>
          </w:r>
        </w:p>
      </w:tc>
      <w:tc>
        <w:tcPr>
          <w:tcW w:w="6570" w:type="dxa"/>
          <w:tcBorders>
            <w:top w:val="nil"/>
            <w:left w:val="nil"/>
            <w:bottom w:val="single" w:sz="4" w:space="0" w:color="auto"/>
            <w:right w:val="nil"/>
          </w:tcBorders>
          <w:vAlign w:val="center"/>
        </w:tcPr>
        <w:p w:rsidR="00A17BAD" w:rsidRDefault="00A17BAD">
          <w:pPr>
            <w:pStyle w:val="Header"/>
            <w:ind w:hanging="108"/>
            <w:rPr>
              <w:rFonts w:ascii="Arial Narrow" w:hAnsi="Arial Narrow" w:cs="Arial"/>
              <w:b/>
              <w:bCs/>
              <w:sz w:val="22"/>
            </w:rPr>
          </w:pPr>
        </w:p>
        <w:p w:rsidR="00005F55" w:rsidRDefault="003F03CB">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005F55" w:rsidRDefault="003F03CB">
          <w:pPr>
            <w:pStyle w:val="Header"/>
            <w:ind w:hanging="108"/>
            <w:rPr>
              <w:rFonts w:cs="Arial"/>
              <w:sz w:val="15"/>
            </w:rPr>
          </w:pPr>
          <w:r>
            <w:rPr>
              <w:rFonts w:cs="Arial"/>
              <w:sz w:val="15"/>
            </w:rPr>
            <w:t>P.O. Box 570, Je</w:t>
          </w:r>
          <w:r w:rsidR="00BA1427">
            <w:rPr>
              <w:rFonts w:cs="Arial"/>
              <w:sz w:val="15"/>
            </w:rPr>
            <w:t xml:space="preserve">fferson City, MO 65102-0570   </w:t>
          </w:r>
          <w:r w:rsidR="004E68ED">
            <w:rPr>
              <w:rFonts w:cs="Arial"/>
              <w:sz w:val="15"/>
            </w:rPr>
            <w:t xml:space="preserve">     Phone: 573-751-6400    </w:t>
          </w:r>
          <w:r w:rsidR="00606F7D">
            <w:rPr>
              <w:rFonts w:cs="Arial"/>
              <w:sz w:val="15"/>
            </w:rPr>
            <w:t xml:space="preserve">FAX: </w:t>
          </w:r>
          <w:r>
            <w:rPr>
              <w:rFonts w:cs="Arial"/>
              <w:sz w:val="15"/>
            </w:rPr>
            <w:t>573-751-6010</w:t>
          </w:r>
        </w:p>
        <w:p w:rsidR="00005F55" w:rsidRDefault="003F03CB" w:rsidP="00A86AB8">
          <w:pPr>
            <w:pStyle w:val="Header"/>
            <w:ind w:hanging="108"/>
            <w:rPr>
              <w:rFonts w:cs="Arial"/>
              <w:sz w:val="15"/>
            </w:rPr>
          </w:pPr>
          <w:r>
            <w:rPr>
              <w:rFonts w:cs="Arial"/>
              <w:sz w:val="15"/>
            </w:rPr>
            <w:t>RELAY MISSOURI for Hearing and Speech Impaired</w:t>
          </w:r>
          <w:r w:rsidR="004E68ED">
            <w:rPr>
              <w:rFonts w:cs="Arial"/>
              <w:sz w:val="15"/>
            </w:rPr>
            <w:t xml:space="preserve"> and Voice dial</w:t>
          </w:r>
          <w:r w:rsidR="00606F7D">
            <w:rPr>
              <w:rFonts w:cs="Arial"/>
              <w:sz w:val="15"/>
            </w:rPr>
            <w:t>:</w:t>
          </w:r>
          <w:r w:rsidR="00A86AB8">
            <w:rPr>
              <w:rFonts w:cs="Arial"/>
              <w:sz w:val="15"/>
            </w:rPr>
            <w:t xml:space="preserve"> 711</w:t>
          </w:r>
        </w:p>
      </w:tc>
      <w:tc>
        <w:tcPr>
          <w:tcW w:w="1944" w:type="dxa"/>
          <w:tcBorders>
            <w:top w:val="nil"/>
            <w:left w:val="nil"/>
            <w:bottom w:val="single" w:sz="4" w:space="0" w:color="auto"/>
            <w:right w:val="nil"/>
          </w:tcBorders>
        </w:tcPr>
        <w:p w:rsidR="00005F55" w:rsidRDefault="00F733BE"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-137160</wp:posOffset>
                    </wp:positionV>
                    <wp:extent cx="841375" cy="709930"/>
                    <wp:effectExtent l="381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0FB" w:rsidRDefault="00F733BE" w:rsidP="00D9015B">
                                <w:pPr>
                                  <w:ind w:hanging="90"/>
                                </w:pPr>
                                <w:r>
                                  <w:rPr>
                                    <w:rFonts w:cs="Arial"/>
                                    <w:b/>
                                    <w:noProof/>
                                  </w:rPr>
                                  <w:drawing>
                                    <wp:inline distT="0" distB="0" distL="0" distR="0">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05pt;margin-top:-10.8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" filled="f" stroked="f">
                    <v:textbox>
                      <w:txbxContent>
                        <w:p w:rsidR="00B070FB" w:rsidRDefault="00F733BE" w:rsidP="00D9015B">
                          <w:pPr>
                            <w:ind w:hanging="90"/>
                          </w:pPr>
                          <w:r>
                            <w:rPr>
                              <w:rFonts w:cs="Arial"/>
                              <w:b/>
                              <w:noProof/>
                            </w:rPr>
                            <w:drawing>
                              <wp:inline distT="0" distB="0" distL="0" distR="0">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v:textbox>
                  </v:shape>
                </w:pict>
              </mc:Fallback>
            </mc:AlternateContent>
          </w:r>
          <w:r w:rsidR="00F80454">
            <w:rPr>
              <w:rFonts w:cs="Arial"/>
              <w:b/>
            </w:rPr>
            <w:t xml:space="preserve"> </w:t>
          </w:r>
        </w:p>
      </w:tc>
    </w:tr>
    <w:tr w:rsidR="00005F55" w:rsidTr="006D6284">
      <w:trPr>
        <w:cantSplit/>
        <w:trHeight w:val="553"/>
      </w:trPr>
      <w:tc>
        <w:tcPr>
          <w:tcW w:w="1728" w:type="dxa"/>
          <w:vMerge/>
          <w:tcBorders>
            <w:top w:val="single" w:sz="4" w:space="0" w:color="auto"/>
            <w:left w:val="nil"/>
            <w:bottom w:val="nil"/>
            <w:right w:val="nil"/>
          </w:tcBorders>
        </w:tcPr>
        <w:p w:rsidR="00005F55" w:rsidRDefault="00005F55">
          <w:pPr>
            <w:pStyle w:val="Header"/>
          </w:pPr>
        </w:p>
      </w:tc>
      <w:tc>
        <w:tcPr>
          <w:tcW w:w="6570" w:type="dxa"/>
          <w:tcBorders>
            <w:top w:val="single" w:sz="4" w:space="0" w:color="auto"/>
            <w:left w:val="nil"/>
            <w:bottom w:val="nil"/>
            <w:right w:val="nil"/>
          </w:tcBorders>
        </w:tcPr>
        <w:p w:rsidR="00005F55" w:rsidRDefault="00005F55">
          <w:pPr>
            <w:pStyle w:val="Header"/>
            <w:ind w:hanging="108"/>
            <w:rPr>
              <w:b/>
              <w:bCs/>
              <w:sz w:val="4"/>
            </w:rPr>
          </w:pPr>
        </w:p>
        <w:p w:rsidR="00932D40" w:rsidRDefault="00105609" w:rsidP="00932D40">
          <w:pPr>
            <w:pStyle w:val="Header"/>
            <w:ind w:hanging="108"/>
            <w:rPr>
              <w:b/>
              <w:sz w:val="16"/>
              <w:szCs w:val="16"/>
            </w:rPr>
          </w:pPr>
          <w:r>
            <w:rPr>
              <w:b/>
              <w:sz w:val="16"/>
              <w:szCs w:val="16"/>
            </w:rPr>
            <w:t>Ra</w:t>
          </w:r>
          <w:r w:rsidR="00932D40">
            <w:rPr>
              <w:b/>
              <w:sz w:val="16"/>
              <w:szCs w:val="16"/>
            </w:rPr>
            <w:t>ndall W. Williams, MD, FACOG</w:t>
          </w:r>
        </w:p>
        <w:p w:rsidR="00005F55" w:rsidRPr="00932D40" w:rsidRDefault="00105609"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005F55" w:rsidRDefault="00005F55" w:rsidP="00995AD8">
          <w:pPr>
            <w:pStyle w:val="Header"/>
            <w:jc w:val="center"/>
            <w:rPr>
              <w:b/>
              <w:bCs/>
              <w:sz w:val="4"/>
            </w:rPr>
          </w:pPr>
        </w:p>
        <w:p w:rsidR="00742E0F" w:rsidRDefault="00161B85" w:rsidP="00742E0F">
          <w:pPr>
            <w:pStyle w:val="Header"/>
            <w:ind w:left="-6" w:right="-288"/>
            <w:jc w:val="center"/>
            <w:rPr>
              <w:b/>
              <w:bCs/>
              <w:sz w:val="16"/>
            </w:rPr>
          </w:pPr>
          <w:r>
            <w:rPr>
              <w:b/>
              <w:bCs/>
              <w:sz w:val="16"/>
            </w:rPr>
            <w:t>Michael L. Parson</w:t>
          </w:r>
        </w:p>
        <w:p w:rsidR="00005F55" w:rsidRDefault="00742E0F" w:rsidP="00742E0F">
          <w:pPr>
            <w:pStyle w:val="Header"/>
            <w:jc w:val="center"/>
            <w:rPr>
              <w:sz w:val="14"/>
            </w:rPr>
          </w:pPr>
          <w:r>
            <w:rPr>
              <w:sz w:val="14"/>
            </w:rPr>
            <w:t xml:space="preserve">    Governor</w:t>
          </w:r>
        </w:p>
      </w:tc>
    </w:tr>
  </w:tbl>
  <w:p w:rsidR="00005F55" w:rsidRDefault="00005F55"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150A"/>
    <w:multiLevelType w:val="hybridMultilevel"/>
    <w:tmpl w:val="727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0732E"/>
    <w:multiLevelType w:val="hybridMultilevel"/>
    <w:tmpl w:val="DF24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35"/>
    <w:rsid w:val="00005F55"/>
    <w:rsid w:val="00052C63"/>
    <w:rsid w:val="000E40B3"/>
    <w:rsid w:val="00105609"/>
    <w:rsid w:val="0012324F"/>
    <w:rsid w:val="001359F0"/>
    <w:rsid w:val="00161B85"/>
    <w:rsid w:val="00174334"/>
    <w:rsid w:val="001A3A65"/>
    <w:rsid w:val="002030DE"/>
    <w:rsid w:val="00221F64"/>
    <w:rsid w:val="002718D1"/>
    <w:rsid w:val="002848E7"/>
    <w:rsid w:val="002A694D"/>
    <w:rsid w:val="002C0615"/>
    <w:rsid w:val="003215FA"/>
    <w:rsid w:val="00367CB9"/>
    <w:rsid w:val="00367F86"/>
    <w:rsid w:val="00392D64"/>
    <w:rsid w:val="00394EF9"/>
    <w:rsid w:val="003F03CB"/>
    <w:rsid w:val="00482914"/>
    <w:rsid w:val="004A415D"/>
    <w:rsid w:val="004A440F"/>
    <w:rsid w:val="004E222E"/>
    <w:rsid w:val="004E68ED"/>
    <w:rsid w:val="00505E51"/>
    <w:rsid w:val="00517C98"/>
    <w:rsid w:val="005373D0"/>
    <w:rsid w:val="00543AA1"/>
    <w:rsid w:val="005F43D7"/>
    <w:rsid w:val="00606F7D"/>
    <w:rsid w:val="00637F2D"/>
    <w:rsid w:val="00683F7D"/>
    <w:rsid w:val="00690D37"/>
    <w:rsid w:val="00696A6F"/>
    <w:rsid w:val="006A5F22"/>
    <w:rsid w:val="006B0D58"/>
    <w:rsid w:val="006D6284"/>
    <w:rsid w:val="006E3AFA"/>
    <w:rsid w:val="006F405C"/>
    <w:rsid w:val="00704C2A"/>
    <w:rsid w:val="00712F27"/>
    <w:rsid w:val="00720C92"/>
    <w:rsid w:val="00742E0F"/>
    <w:rsid w:val="00744AD3"/>
    <w:rsid w:val="007D53B5"/>
    <w:rsid w:val="007E64FA"/>
    <w:rsid w:val="007F0335"/>
    <w:rsid w:val="007F129A"/>
    <w:rsid w:val="00811044"/>
    <w:rsid w:val="00862430"/>
    <w:rsid w:val="008C2017"/>
    <w:rsid w:val="008C2F9B"/>
    <w:rsid w:val="008F6909"/>
    <w:rsid w:val="00900172"/>
    <w:rsid w:val="0092440D"/>
    <w:rsid w:val="00925C1D"/>
    <w:rsid w:val="00932D40"/>
    <w:rsid w:val="00935266"/>
    <w:rsid w:val="0099016B"/>
    <w:rsid w:val="00995AD8"/>
    <w:rsid w:val="009A2842"/>
    <w:rsid w:val="009C3AA7"/>
    <w:rsid w:val="009C4DA7"/>
    <w:rsid w:val="009D0503"/>
    <w:rsid w:val="00A169A6"/>
    <w:rsid w:val="00A17BAD"/>
    <w:rsid w:val="00A31A2C"/>
    <w:rsid w:val="00A53F0D"/>
    <w:rsid w:val="00A86AB8"/>
    <w:rsid w:val="00AF49BD"/>
    <w:rsid w:val="00B070FB"/>
    <w:rsid w:val="00B7325B"/>
    <w:rsid w:val="00B87590"/>
    <w:rsid w:val="00BA1427"/>
    <w:rsid w:val="00BB3C1D"/>
    <w:rsid w:val="00BC5C3D"/>
    <w:rsid w:val="00BF2181"/>
    <w:rsid w:val="00C421B5"/>
    <w:rsid w:val="00C82DB2"/>
    <w:rsid w:val="00CA0AD6"/>
    <w:rsid w:val="00CD01F0"/>
    <w:rsid w:val="00D00967"/>
    <w:rsid w:val="00D03C1E"/>
    <w:rsid w:val="00D17E30"/>
    <w:rsid w:val="00D31334"/>
    <w:rsid w:val="00D9015B"/>
    <w:rsid w:val="00DA3D7C"/>
    <w:rsid w:val="00DA67B8"/>
    <w:rsid w:val="00DA6ACD"/>
    <w:rsid w:val="00DB0051"/>
    <w:rsid w:val="00DC5AA4"/>
    <w:rsid w:val="00DD5450"/>
    <w:rsid w:val="00E03103"/>
    <w:rsid w:val="00E10E41"/>
    <w:rsid w:val="00E60113"/>
    <w:rsid w:val="00E70751"/>
    <w:rsid w:val="00EA6281"/>
    <w:rsid w:val="00EC650D"/>
    <w:rsid w:val="00F4303E"/>
    <w:rsid w:val="00F44F9E"/>
    <w:rsid w:val="00F66015"/>
    <w:rsid w:val="00F733BE"/>
    <w:rsid w:val="00F80454"/>
    <w:rsid w:val="00FB7D99"/>
    <w:rsid w:val="00FC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B9B66D-31AE-49CD-B24F-A5C686E5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NoSpacing">
    <w:name w:val="No Spacing"/>
    <w:uiPriority w:val="1"/>
    <w:qFormat/>
    <w:rsid w:val="007F033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dy.Bohannan@health.mo.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0-DHSS%20Letterhead%20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B823-5888-486E-8918-A89BAAC8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0-DHSS Letterhead 6-18.dotx</Template>
  <TotalTime>0</TotalTime>
  <Pages>1</Pages>
  <Words>166</Words>
  <Characters>948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1112</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Schwandtner, Waunita</dc:creator>
  <cp:lastModifiedBy>Clark, Jody</cp:lastModifiedBy>
  <cp:revision>2</cp:revision>
  <cp:lastPrinted>2017-11-02T14:20:00Z</cp:lastPrinted>
  <dcterms:created xsi:type="dcterms:W3CDTF">2018-11-09T17:54:00Z</dcterms:created>
  <dcterms:modified xsi:type="dcterms:W3CDTF">2018-11-09T17:54:00Z</dcterms:modified>
</cp:coreProperties>
</file>