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EBC" w:rsidRDefault="00270EBC" w:rsidP="00270EBC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PSEM-18-</w:t>
      </w:r>
      <w:r w:rsidR="00A93CA1">
        <w:rPr>
          <w:rFonts w:ascii="Times New Roman" w:hAnsi="Times New Roman"/>
          <w:sz w:val="24"/>
        </w:rPr>
        <w:t>06</w:t>
      </w:r>
    </w:p>
    <w:p w:rsidR="00270EBC" w:rsidRDefault="00270EBC" w:rsidP="00270EBC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</w:p>
    <w:p w:rsidR="008305C6" w:rsidRDefault="008305C6" w:rsidP="00270EBC">
      <w:pPr>
        <w:pStyle w:val="Header"/>
        <w:tabs>
          <w:tab w:val="clear" w:pos="4320"/>
          <w:tab w:val="clear" w:pos="8640"/>
        </w:tabs>
        <w:jc w:val="right"/>
        <w:rPr>
          <w:rFonts w:ascii="Times New Roman" w:hAnsi="Times New Roman"/>
          <w:sz w:val="24"/>
        </w:rPr>
      </w:pPr>
    </w:p>
    <w:p w:rsidR="00270EBC" w:rsidRDefault="005827DA" w:rsidP="00270EB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March </w:t>
      </w:r>
      <w:r w:rsidR="00AE5D04">
        <w:rPr>
          <w:rFonts w:ascii="Times New Roman" w:hAnsi="Times New Roman"/>
          <w:sz w:val="24"/>
        </w:rPr>
        <w:t>12</w:t>
      </w:r>
      <w:r>
        <w:rPr>
          <w:rFonts w:ascii="Times New Roman" w:hAnsi="Times New Roman"/>
          <w:sz w:val="24"/>
        </w:rPr>
        <w:t>, 2018</w:t>
      </w:r>
    </w:p>
    <w:p w:rsidR="00270EBC" w:rsidRDefault="00270EBC" w:rsidP="00270EBC">
      <w:pPr>
        <w:pStyle w:val="Header"/>
        <w:tabs>
          <w:tab w:val="clear" w:pos="4320"/>
          <w:tab w:val="clear" w:pos="8640"/>
        </w:tabs>
        <w:jc w:val="center"/>
        <w:rPr>
          <w:rFonts w:ascii="Times New Roman" w:hAnsi="Times New Roman"/>
          <w:sz w:val="24"/>
        </w:rPr>
      </w:pPr>
    </w:p>
    <w:p w:rsidR="00270EBC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270EBC" w:rsidRDefault="00270EBC" w:rsidP="00270EBC">
      <w:pPr>
        <w:pStyle w:val="Header"/>
        <w:tabs>
          <w:tab w:val="left" w:pos="72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MEMORANDUM FOR DIVISION OF SENIOR &amp; DISABILITY SERVICES ADULT PROTECTIVE SERVICES STAFF</w:t>
      </w: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>From:</w:t>
      </w:r>
      <w:r w:rsidRPr="00EE6C83">
        <w:rPr>
          <w:rFonts w:ascii="Times New Roman" w:hAnsi="Times New Roman"/>
          <w:sz w:val="24"/>
        </w:rPr>
        <w:tab/>
      </w:r>
      <w:r w:rsidRPr="00EE6C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Kathryn Sharp Sapp</w:t>
      </w:r>
      <w:r w:rsidRPr="00EE6C83">
        <w:rPr>
          <w:rFonts w:ascii="Times New Roman" w:hAnsi="Times New Roman"/>
          <w:sz w:val="24"/>
        </w:rPr>
        <w:t>, Bureau Chief</w:t>
      </w:r>
      <w:r w:rsidRPr="00EE6C83">
        <w:rPr>
          <w:rFonts w:ascii="Times New Roman" w:hAnsi="Times New Roman"/>
          <w:sz w:val="24"/>
        </w:rPr>
        <w:tab/>
      </w:r>
      <w:r w:rsidR="00EB74E8">
        <w:rPr>
          <w:noProof/>
        </w:rPr>
        <w:drawing>
          <wp:inline distT="0" distB="0" distL="0" distR="0" wp14:anchorId="347B0BB2" wp14:editId="14B07358">
            <wp:extent cx="1770591" cy="533400"/>
            <wp:effectExtent l="0" t="0" r="127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70370" cy="5333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EE6C83">
        <w:rPr>
          <w:rFonts w:ascii="Times New Roman" w:hAnsi="Times New Roman"/>
          <w:sz w:val="24"/>
        </w:rPr>
        <w:tab/>
      </w:r>
    </w:p>
    <w:p w:rsidR="00270EBC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 w:rsidRPr="00EE6C83">
        <w:rPr>
          <w:rFonts w:ascii="Times New Roman" w:hAnsi="Times New Roman"/>
          <w:sz w:val="24"/>
        </w:rPr>
        <w:tab/>
      </w:r>
      <w:r w:rsidRPr="00EE6C83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Division of Senior and Disability Services</w:t>
      </w: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>Adult Protective Services Policy Unit</w:t>
      </w: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270EBC" w:rsidRPr="00EE6C83" w:rsidRDefault="00F64CFA" w:rsidP="008305C6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Subject:   </w:t>
      </w:r>
      <w:r>
        <w:rPr>
          <w:rFonts w:ascii="Times New Roman" w:hAnsi="Times New Roman"/>
          <w:sz w:val="24"/>
        </w:rPr>
        <w:tab/>
      </w:r>
      <w:r w:rsidR="00270EBC">
        <w:rPr>
          <w:rFonts w:ascii="Times New Roman" w:hAnsi="Times New Roman"/>
          <w:sz w:val="24"/>
        </w:rPr>
        <w:t xml:space="preserve">Consulting with Office of General Counsel </w:t>
      </w: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5827DA" w:rsidRDefault="005827DA" w:rsidP="005827D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This memo provides additional information to </w:t>
      </w:r>
      <w:r w:rsidR="007319DB">
        <w:rPr>
          <w:rFonts w:ascii="Times New Roman" w:hAnsi="Times New Roman"/>
          <w:sz w:val="24"/>
        </w:rPr>
        <w:t xml:space="preserve">PSEM-18-02, </w:t>
      </w:r>
      <w:r>
        <w:rPr>
          <w:rFonts w:ascii="Times New Roman" w:hAnsi="Times New Roman"/>
          <w:sz w:val="24"/>
        </w:rPr>
        <w:t>released December 20, 2017</w:t>
      </w:r>
      <w:r w:rsidR="007319DB">
        <w:rPr>
          <w:rFonts w:ascii="Times New Roman" w:hAnsi="Times New Roman"/>
          <w:sz w:val="24"/>
        </w:rPr>
        <w:t>, regarding the need to contact the Adult Protective Services</w:t>
      </w:r>
      <w:r w:rsidR="00270EBC">
        <w:rPr>
          <w:rFonts w:ascii="Times New Roman" w:hAnsi="Times New Roman"/>
          <w:sz w:val="24"/>
        </w:rPr>
        <w:t xml:space="preserve"> </w:t>
      </w:r>
      <w:r w:rsidR="007319DB">
        <w:rPr>
          <w:rFonts w:ascii="Times New Roman" w:hAnsi="Times New Roman"/>
          <w:sz w:val="24"/>
        </w:rPr>
        <w:t>(</w:t>
      </w:r>
      <w:r w:rsidR="00270EBC">
        <w:rPr>
          <w:rFonts w:ascii="Times New Roman" w:hAnsi="Times New Roman"/>
          <w:sz w:val="24"/>
        </w:rPr>
        <w:t>APS</w:t>
      </w:r>
      <w:r w:rsidR="007319DB">
        <w:rPr>
          <w:rFonts w:ascii="Times New Roman" w:hAnsi="Times New Roman"/>
          <w:sz w:val="24"/>
        </w:rPr>
        <w:t>)</w:t>
      </w:r>
      <w:r w:rsidR="00270EBC">
        <w:rPr>
          <w:rFonts w:ascii="Times New Roman" w:hAnsi="Times New Roman"/>
          <w:sz w:val="24"/>
        </w:rPr>
        <w:t xml:space="preserve"> Policy Unit prior to contacting Office of General Counsel (OGC) </w:t>
      </w:r>
      <w:r w:rsidR="007319DB">
        <w:rPr>
          <w:rFonts w:ascii="Times New Roman" w:hAnsi="Times New Roman"/>
          <w:sz w:val="24"/>
        </w:rPr>
        <w:t>on</w:t>
      </w:r>
      <w:r w:rsidR="00270EBC">
        <w:rPr>
          <w:rFonts w:ascii="Times New Roman" w:hAnsi="Times New Roman"/>
          <w:sz w:val="24"/>
        </w:rPr>
        <w:t xml:space="preserve"> referrals for guardianship and/or conservatorship. </w:t>
      </w:r>
    </w:p>
    <w:p w:rsidR="006B2FE3" w:rsidRDefault="006B2FE3" w:rsidP="005827D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</w:p>
    <w:p w:rsidR="007319DB" w:rsidRPr="007319DB" w:rsidRDefault="007319DB" w:rsidP="005827DA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</w:rPr>
      </w:pPr>
      <w:r w:rsidRPr="007319DB">
        <w:rPr>
          <w:rFonts w:ascii="Times New Roman" w:hAnsi="Times New Roman"/>
          <w:b/>
          <w:sz w:val="24"/>
        </w:rPr>
        <w:t>New Guardianship/Conservatorship Referrals:</w:t>
      </w:r>
    </w:p>
    <w:p w:rsidR="007319DB" w:rsidRDefault="007319DB" w:rsidP="007319DB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Prior to submitting any new referrals, staff shall consult their supervisor and/or Regional Manager to determine if they can proceed with recommending guardianship or conservatorship.  The APS Policy Unit may be consulted if there is still a question about the possible referral after proceeding through the supervisory chain.</w:t>
      </w:r>
    </w:p>
    <w:p w:rsidR="007319DB" w:rsidRDefault="007319DB" w:rsidP="007319DB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Times New Roman" w:hAnsi="Times New Roman"/>
          <w:sz w:val="24"/>
        </w:rPr>
      </w:pPr>
    </w:p>
    <w:p w:rsidR="005827DA" w:rsidRDefault="005827DA" w:rsidP="005827DA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All </w:t>
      </w:r>
      <w:r w:rsidRPr="005827DA">
        <w:rPr>
          <w:rFonts w:ascii="Times New Roman" w:hAnsi="Times New Roman"/>
          <w:b/>
          <w:sz w:val="24"/>
          <w:u w:val="single"/>
        </w:rPr>
        <w:t>new</w:t>
      </w:r>
      <w:r w:rsidRPr="006B2FE3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guardianship/conservatorship referrals shall </w:t>
      </w:r>
      <w:r w:rsidR="002015CA">
        <w:rPr>
          <w:rFonts w:ascii="Times New Roman" w:hAnsi="Times New Roman"/>
          <w:sz w:val="24"/>
        </w:rPr>
        <w:t>be directed to the APS Policy Unit</w:t>
      </w:r>
      <w:r w:rsidR="006B2FE3">
        <w:rPr>
          <w:rFonts w:ascii="Times New Roman" w:hAnsi="Times New Roman"/>
          <w:sz w:val="24"/>
        </w:rPr>
        <w:t>.</w:t>
      </w:r>
      <w:r w:rsidR="00825BC6">
        <w:rPr>
          <w:rFonts w:ascii="Times New Roman" w:hAnsi="Times New Roman"/>
          <w:sz w:val="24"/>
        </w:rPr>
        <w:t xml:space="preserve"> One of the following will occur:</w:t>
      </w:r>
    </w:p>
    <w:p w:rsidR="008305C6" w:rsidRDefault="008305C6" w:rsidP="008305C6">
      <w:pPr>
        <w:pStyle w:val="Header"/>
        <w:tabs>
          <w:tab w:val="clear" w:pos="4320"/>
          <w:tab w:val="clear" w:pos="8640"/>
        </w:tabs>
        <w:ind w:left="720"/>
        <w:jc w:val="both"/>
        <w:rPr>
          <w:rFonts w:ascii="Times New Roman" w:hAnsi="Times New Roman"/>
          <w:sz w:val="24"/>
        </w:rPr>
      </w:pPr>
    </w:p>
    <w:p w:rsidR="00825BC6" w:rsidRDefault="00825BC6" w:rsidP="00825BC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APS Policy Unit will enter the information into the O</w:t>
      </w:r>
      <w:r w:rsidR="007319DB">
        <w:rPr>
          <w:rFonts w:ascii="Times New Roman" w:hAnsi="Times New Roman"/>
          <w:sz w:val="24"/>
        </w:rPr>
        <w:t>G</w:t>
      </w:r>
      <w:r>
        <w:rPr>
          <w:rFonts w:ascii="Times New Roman" w:hAnsi="Times New Roman"/>
          <w:sz w:val="24"/>
        </w:rPr>
        <w:t xml:space="preserve">C database and email the person making the referral of the action. </w:t>
      </w:r>
      <w:r w:rsidR="006B2FE3">
        <w:rPr>
          <w:rFonts w:ascii="Times New Roman" w:hAnsi="Times New Roman"/>
          <w:sz w:val="24"/>
        </w:rPr>
        <w:t xml:space="preserve">If the referral is accepted by OGC, </w:t>
      </w:r>
      <w:r w:rsidR="007319DB">
        <w:rPr>
          <w:rFonts w:ascii="Times New Roman" w:hAnsi="Times New Roman"/>
          <w:sz w:val="24"/>
        </w:rPr>
        <w:t>an attorney will be</w:t>
      </w:r>
      <w:r w:rsidR="006B2FE3">
        <w:rPr>
          <w:rFonts w:ascii="Times New Roman" w:hAnsi="Times New Roman"/>
          <w:sz w:val="24"/>
        </w:rPr>
        <w:t xml:space="preserve"> assigned</w:t>
      </w:r>
      <w:r w:rsidR="007319DB">
        <w:rPr>
          <w:rFonts w:ascii="Times New Roman" w:hAnsi="Times New Roman"/>
          <w:sz w:val="24"/>
        </w:rPr>
        <w:t xml:space="preserve"> and OGC</w:t>
      </w:r>
      <w:r w:rsidR="006B2FE3">
        <w:rPr>
          <w:rFonts w:ascii="Times New Roman" w:hAnsi="Times New Roman"/>
          <w:sz w:val="24"/>
        </w:rPr>
        <w:t xml:space="preserve"> will contact the </w:t>
      </w:r>
      <w:r w:rsidR="007319DB">
        <w:rPr>
          <w:rFonts w:ascii="Times New Roman" w:hAnsi="Times New Roman"/>
          <w:sz w:val="24"/>
        </w:rPr>
        <w:t>referring staff</w:t>
      </w:r>
      <w:r w:rsidR="006B2FE3">
        <w:rPr>
          <w:rFonts w:ascii="Times New Roman" w:hAnsi="Times New Roman"/>
          <w:sz w:val="24"/>
        </w:rPr>
        <w:t>. Once an attorney has contacted the APS staff person, APS staff may contact the assigned attorney directly for updates or questions.</w:t>
      </w:r>
      <w:r>
        <w:rPr>
          <w:rFonts w:ascii="Times New Roman" w:hAnsi="Times New Roman"/>
          <w:sz w:val="24"/>
        </w:rPr>
        <w:t xml:space="preserve"> </w:t>
      </w:r>
    </w:p>
    <w:p w:rsidR="00E76BF9" w:rsidRDefault="00E76BF9" w:rsidP="00E76BF9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Times New Roman" w:hAnsi="Times New Roman"/>
          <w:sz w:val="24"/>
        </w:rPr>
      </w:pPr>
    </w:p>
    <w:p w:rsidR="00E76BF9" w:rsidRDefault="00E76BF9" w:rsidP="00825BC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Until referring staff have been contacted by OGC regarding the referral, APS staff shall continue to inquire/update the referral through the APS Policy Unit.</w:t>
      </w:r>
    </w:p>
    <w:p w:rsidR="00E76BF9" w:rsidRDefault="00E76BF9" w:rsidP="00E76BF9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Times New Roman" w:hAnsi="Times New Roman"/>
          <w:sz w:val="24"/>
        </w:rPr>
      </w:pPr>
    </w:p>
    <w:p w:rsidR="006B2FE3" w:rsidRDefault="00825BC6" w:rsidP="00825BC6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APS Policy Unit will no</w:t>
      </w:r>
      <w:r w:rsidR="007319DB">
        <w:rPr>
          <w:rFonts w:ascii="Times New Roman" w:hAnsi="Times New Roman"/>
          <w:sz w:val="24"/>
        </w:rPr>
        <w:t>t enter the referral into the OG</w:t>
      </w:r>
      <w:r>
        <w:rPr>
          <w:rFonts w:ascii="Times New Roman" w:hAnsi="Times New Roman"/>
          <w:sz w:val="24"/>
        </w:rPr>
        <w:t xml:space="preserve">C database </w:t>
      </w:r>
      <w:r w:rsidR="0068070B">
        <w:rPr>
          <w:rFonts w:ascii="Times New Roman" w:hAnsi="Times New Roman"/>
          <w:sz w:val="24"/>
        </w:rPr>
        <w:t>until all necessary documentation and information has been obtained</w:t>
      </w:r>
      <w:r>
        <w:rPr>
          <w:rFonts w:ascii="Times New Roman" w:hAnsi="Times New Roman"/>
          <w:sz w:val="24"/>
        </w:rPr>
        <w:t>. The APS policy u</w:t>
      </w:r>
      <w:r w:rsidR="007319DB">
        <w:rPr>
          <w:rFonts w:ascii="Times New Roman" w:hAnsi="Times New Roman"/>
          <w:sz w:val="24"/>
        </w:rPr>
        <w:t xml:space="preserve">nit will notify the person who </w:t>
      </w:r>
      <w:r>
        <w:rPr>
          <w:rFonts w:ascii="Times New Roman" w:hAnsi="Times New Roman"/>
          <w:sz w:val="24"/>
        </w:rPr>
        <w:t xml:space="preserve">made the request and specify what additional information is needed. </w:t>
      </w:r>
    </w:p>
    <w:p w:rsidR="00E76BF9" w:rsidRDefault="00E76BF9" w:rsidP="00E76BF9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Times New Roman" w:hAnsi="Times New Roman"/>
          <w:sz w:val="24"/>
        </w:rPr>
      </w:pPr>
    </w:p>
    <w:p w:rsidR="007319DB" w:rsidRDefault="007319DB" w:rsidP="007319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If it has been determined that more information/case history is needed prior to considering a guardianship/conservatorship referral and direction is needed regarding what actions to take with a case, the APCS and RM shall be consulted. The APS Policy Unit may be consulted if needed after proceeding through the supervisory chain.</w:t>
      </w:r>
    </w:p>
    <w:p w:rsidR="007319DB" w:rsidRDefault="007319DB" w:rsidP="007319DB">
      <w:pPr>
        <w:pStyle w:val="ListParagraph"/>
        <w:rPr>
          <w:rFonts w:ascii="Times New Roman" w:hAnsi="Times New Roman"/>
          <w:sz w:val="24"/>
        </w:rPr>
      </w:pPr>
    </w:p>
    <w:p w:rsidR="007319DB" w:rsidRPr="008305C6" w:rsidRDefault="007319DB" w:rsidP="007319DB">
      <w:pPr>
        <w:pStyle w:val="Header"/>
        <w:numPr>
          <w:ilvl w:val="0"/>
          <w:numId w:val="2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 w:rsidRPr="008305C6">
        <w:rPr>
          <w:rFonts w:ascii="Times New Roman" w:hAnsi="Times New Roman"/>
          <w:sz w:val="24"/>
        </w:rPr>
        <w:t xml:space="preserve">Interrogatories are </w:t>
      </w:r>
      <w:r>
        <w:rPr>
          <w:rFonts w:ascii="Times New Roman" w:hAnsi="Times New Roman"/>
          <w:sz w:val="24"/>
        </w:rPr>
        <w:t>essential</w:t>
      </w:r>
      <w:r w:rsidRPr="008305C6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elements of a guardianship/conservatorship</w:t>
      </w:r>
      <w:r w:rsidRPr="008305C6">
        <w:rPr>
          <w:rFonts w:ascii="Times New Roman" w:hAnsi="Times New Roman"/>
          <w:sz w:val="24"/>
        </w:rPr>
        <w:t xml:space="preserve"> referral, even if there are other medical records included.</w:t>
      </w:r>
      <w:r w:rsidR="00E76BF9">
        <w:rPr>
          <w:rFonts w:ascii="Times New Roman" w:hAnsi="Times New Roman"/>
          <w:sz w:val="24"/>
        </w:rPr>
        <w:t xml:space="preserve"> The only exception is during instances in which a successor</w:t>
      </w:r>
      <w:r w:rsidRPr="008305C6">
        <w:rPr>
          <w:rFonts w:ascii="Times New Roman" w:hAnsi="Times New Roman"/>
          <w:sz w:val="24"/>
        </w:rPr>
        <w:t xml:space="preserve"> guardian/conservator</w:t>
      </w:r>
      <w:r w:rsidR="00E76BF9">
        <w:rPr>
          <w:rFonts w:ascii="Times New Roman" w:hAnsi="Times New Roman"/>
          <w:sz w:val="24"/>
        </w:rPr>
        <w:t xml:space="preserve"> is being sought</w:t>
      </w:r>
      <w:r w:rsidRPr="008305C6">
        <w:rPr>
          <w:rFonts w:ascii="Times New Roman" w:hAnsi="Times New Roman"/>
          <w:sz w:val="24"/>
        </w:rPr>
        <w:t xml:space="preserve">. </w:t>
      </w:r>
    </w:p>
    <w:p w:rsidR="00843AB9" w:rsidRDefault="00843AB9" w:rsidP="007319DB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</w:p>
    <w:p w:rsidR="007319DB" w:rsidRPr="007319DB" w:rsidRDefault="007319DB" w:rsidP="007319DB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</w:rPr>
      </w:pPr>
      <w:r w:rsidRPr="007319DB">
        <w:rPr>
          <w:rFonts w:ascii="Times New Roman" w:hAnsi="Times New Roman"/>
          <w:b/>
          <w:sz w:val="24"/>
        </w:rPr>
        <w:t>Current/Existing Guardianship/Conservatorship Referrals:</w:t>
      </w:r>
    </w:p>
    <w:p w:rsidR="00825BC6" w:rsidRDefault="00825BC6" w:rsidP="00825BC6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For an update on an existing referral or to provide additional information </w:t>
      </w:r>
      <w:r w:rsidR="00843AB9">
        <w:rPr>
          <w:rFonts w:ascii="Times New Roman" w:hAnsi="Times New Roman"/>
          <w:sz w:val="24"/>
        </w:rPr>
        <w:t xml:space="preserve">on referrals </w:t>
      </w:r>
      <w:r>
        <w:rPr>
          <w:rFonts w:ascii="Times New Roman" w:hAnsi="Times New Roman"/>
          <w:sz w:val="24"/>
        </w:rPr>
        <w:t>with an attorney assigned</w:t>
      </w:r>
      <w:r w:rsidR="00843AB9">
        <w:rPr>
          <w:rFonts w:ascii="Times New Roman" w:hAnsi="Times New Roman"/>
          <w:sz w:val="24"/>
        </w:rPr>
        <w:t>, the assigned attorney may be contacted directly.</w:t>
      </w:r>
    </w:p>
    <w:p w:rsidR="00DD0CCE" w:rsidRDefault="00DD0CCE" w:rsidP="00DD0CC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</w:p>
    <w:p w:rsidR="00DD0CCE" w:rsidRDefault="00DD0CCE" w:rsidP="00DD0CCE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</w:rPr>
      </w:pPr>
      <w:r w:rsidRPr="00DD0CCE">
        <w:rPr>
          <w:rFonts w:ascii="Times New Roman" w:hAnsi="Times New Roman"/>
          <w:b/>
          <w:sz w:val="24"/>
        </w:rPr>
        <w:t>Legal Questions</w:t>
      </w:r>
    </w:p>
    <w:p w:rsidR="00DD0CCE" w:rsidRPr="00DD0CCE" w:rsidRDefault="000356ED" w:rsidP="00DD0CCE">
      <w:pPr>
        <w:pStyle w:val="Header"/>
        <w:numPr>
          <w:ilvl w:val="0"/>
          <w:numId w:val="1"/>
        </w:numPr>
        <w:tabs>
          <w:tab w:val="clear" w:pos="4320"/>
          <w:tab w:val="clear" w:pos="8640"/>
        </w:tabs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For </w:t>
      </w:r>
      <w:r w:rsidR="00DD0CCE">
        <w:rPr>
          <w:rFonts w:ascii="Times New Roman" w:hAnsi="Times New Roman"/>
          <w:sz w:val="24"/>
        </w:rPr>
        <w:t xml:space="preserve">legal questions </w:t>
      </w:r>
      <w:r>
        <w:rPr>
          <w:rFonts w:ascii="Times New Roman" w:hAnsi="Times New Roman"/>
          <w:sz w:val="24"/>
        </w:rPr>
        <w:t xml:space="preserve">on referrals with an attorney assigned, the assigned attorney may be contacted directly. All other legal questions must be discussed through supervisory channel, up through the Regional Manager. </w:t>
      </w:r>
      <w:r w:rsidR="00DD0CCE">
        <w:rPr>
          <w:rFonts w:ascii="Times New Roman" w:hAnsi="Times New Roman"/>
          <w:sz w:val="24"/>
        </w:rPr>
        <w:t>The APS Policy Unit is available for case consultation.</w:t>
      </w:r>
    </w:p>
    <w:p w:rsidR="00825BC6" w:rsidRDefault="00825BC6" w:rsidP="00825BC6">
      <w:pPr>
        <w:pStyle w:val="Header"/>
        <w:tabs>
          <w:tab w:val="clear" w:pos="4320"/>
          <w:tab w:val="clear" w:pos="8640"/>
        </w:tabs>
        <w:ind w:left="1440"/>
        <w:jc w:val="both"/>
        <w:rPr>
          <w:rFonts w:ascii="Times New Roman" w:hAnsi="Times New Roman"/>
          <w:sz w:val="24"/>
        </w:rPr>
      </w:pPr>
    </w:p>
    <w:p w:rsidR="00843AB9" w:rsidRDefault="00843AB9" w:rsidP="00843AB9">
      <w:pPr>
        <w:pStyle w:val="ListParagraph"/>
        <w:rPr>
          <w:rFonts w:ascii="Times New Roman" w:hAnsi="Times New Roman"/>
          <w:sz w:val="24"/>
        </w:rPr>
      </w:pP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 xml:space="preserve">All questions should be cleared through normal supervisory channels and directed to Amanda Veltrop at </w:t>
      </w:r>
      <w:hyperlink r:id="rId10" w:history="1">
        <w:r>
          <w:rPr>
            <w:rStyle w:val="Hyperlink"/>
            <w:rFonts w:ascii="Times New Roman" w:hAnsi="Times New Roman"/>
            <w:color w:val="3333FF"/>
            <w:sz w:val="24"/>
          </w:rPr>
          <w:t>APSPolicy@health.mo.gov</w:t>
        </w:r>
      </w:hyperlink>
      <w:r>
        <w:rPr>
          <w:rFonts w:ascii="Times New Roman" w:hAnsi="Times New Roman"/>
          <w:color w:val="3333FF"/>
          <w:sz w:val="24"/>
        </w:rPr>
        <w:t xml:space="preserve"> </w:t>
      </w:r>
      <w:r>
        <w:rPr>
          <w:rFonts w:ascii="Times New Roman" w:hAnsi="Times New Roman"/>
          <w:color w:val="000000"/>
          <w:sz w:val="24"/>
        </w:rPr>
        <w:t>or by calling 573-526-5391.</w:t>
      </w: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</w:p>
    <w:p w:rsidR="00270EBC" w:rsidRPr="00EE6C83" w:rsidRDefault="00270EBC" w:rsidP="00270EBC">
      <w:pPr>
        <w:pStyle w:val="Header"/>
        <w:tabs>
          <w:tab w:val="clear" w:pos="4320"/>
          <w:tab w:val="clear" w:pos="8640"/>
        </w:tabs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KSS</w:t>
      </w:r>
      <w:r w:rsidRPr="00EE6C83">
        <w:rPr>
          <w:rFonts w:ascii="Times New Roman" w:hAnsi="Times New Roman"/>
          <w:sz w:val="24"/>
        </w:rPr>
        <w:t>/</w:t>
      </w:r>
      <w:r w:rsidR="00BD5126">
        <w:rPr>
          <w:rFonts w:ascii="Times New Roman" w:hAnsi="Times New Roman"/>
          <w:sz w:val="24"/>
        </w:rPr>
        <w:t>av</w:t>
      </w:r>
    </w:p>
    <w:p w:rsidR="00B7325B" w:rsidRPr="00270EBC" w:rsidRDefault="00B7325B" w:rsidP="00270EBC"/>
    <w:sectPr w:rsidR="00B7325B" w:rsidRPr="00270EBC" w:rsidSect="00E10E4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440" w:right="1080" w:bottom="1440" w:left="1080" w:header="720" w:footer="504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3B0D" w:rsidRDefault="00E63B0D">
      <w:r>
        <w:separator/>
      </w:r>
    </w:p>
  </w:endnote>
  <w:endnote w:type="continuationSeparator" w:id="0">
    <w:p w:rsidR="00E63B0D" w:rsidRDefault="00E6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B9" w:rsidRDefault="00843AB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B9" w:rsidRDefault="00843AB9">
    <w:pPr>
      <w:pStyle w:val="Footer"/>
      <w:tabs>
        <w:tab w:val="clear" w:pos="4320"/>
        <w:tab w:val="clear" w:pos="8640"/>
        <w:tab w:val="center" w:pos="4680"/>
      </w:tabs>
      <w:jc w:val="center"/>
      <w:rPr>
        <w:sz w:val="9"/>
      </w:rPr>
    </w:pPr>
    <w: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B9" w:rsidRDefault="00E63B0D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hyperlink r:id="rId1" w:history="1">
      <w:r w:rsidR="00843AB9" w:rsidRPr="004A3FAB">
        <w:rPr>
          <w:rStyle w:val="Hyperlink"/>
          <w:b/>
          <w:bCs/>
          <w:sz w:val="14"/>
        </w:rPr>
        <w:t>www.health.mo.gov</w:t>
      </w:r>
    </w:hyperlink>
  </w:p>
  <w:p w:rsidR="00843AB9" w:rsidRDefault="00843AB9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</w:p>
  <w:p w:rsidR="00843AB9" w:rsidRDefault="00843AB9">
    <w:pPr>
      <w:pStyle w:val="Footer"/>
      <w:tabs>
        <w:tab w:val="clear" w:pos="4320"/>
        <w:tab w:val="center" w:pos="4680"/>
      </w:tabs>
      <w:jc w:val="center"/>
      <w:rPr>
        <w:b/>
        <w:bCs/>
        <w:sz w:val="14"/>
      </w:rPr>
    </w:pPr>
    <w:r>
      <w:rPr>
        <w:b/>
        <w:bCs/>
        <w:sz w:val="14"/>
      </w:rPr>
      <w:t>Healthy Missourians for life.</w:t>
    </w:r>
  </w:p>
  <w:p w:rsidR="00843AB9" w:rsidRDefault="00843AB9">
    <w:pPr>
      <w:pStyle w:val="Footer"/>
      <w:tabs>
        <w:tab w:val="clear" w:pos="4320"/>
        <w:tab w:val="center" w:pos="4680"/>
      </w:tabs>
      <w:jc w:val="center"/>
      <w:rPr>
        <w:rFonts w:cs="Arial"/>
        <w:sz w:val="15"/>
      </w:rPr>
    </w:pPr>
    <w:r>
      <w:rPr>
        <w:rFonts w:cs="Arial"/>
        <w:sz w:val="15"/>
      </w:rPr>
      <w:t>The Missouri Department of Health and Senior Services will be the leader in promoting, protecting and partnering for health.</w:t>
    </w:r>
  </w:p>
  <w:p w:rsidR="00843AB9" w:rsidRDefault="00843AB9">
    <w:pPr>
      <w:pStyle w:val="Footer"/>
      <w:tabs>
        <w:tab w:val="clear" w:pos="4320"/>
        <w:tab w:val="center" w:pos="4680"/>
      </w:tabs>
      <w:jc w:val="center"/>
      <w:rPr>
        <w:sz w:val="15"/>
      </w:rPr>
    </w:pPr>
  </w:p>
  <w:p w:rsidR="00843AB9" w:rsidRDefault="00843AB9">
    <w:pPr>
      <w:pStyle w:val="Footer"/>
      <w:tabs>
        <w:tab w:val="clear" w:pos="4320"/>
        <w:tab w:val="center" w:pos="4680"/>
      </w:tabs>
      <w:jc w:val="center"/>
      <w:rPr>
        <w:sz w:val="4"/>
      </w:rPr>
    </w:pPr>
  </w:p>
  <w:p w:rsidR="00843AB9" w:rsidRDefault="00843AB9">
    <w:pPr>
      <w:pStyle w:val="Footer"/>
      <w:tabs>
        <w:tab w:val="clear" w:pos="4320"/>
        <w:tab w:val="clear" w:pos="8640"/>
        <w:tab w:val="center" w:pos="4680"/>
      </w:tabs>
      <w:jc w:val="center"/>
      <w:rPr>
        <w:sz w:val="15"/>
      </w:rPr>
    </w:pPr>
    <w:r>
      <w:rPr>
        <w:sz w:val="15"/>
      </w:rPr>
      <w:t>AN EQUAL OPPORTUNITY / AFFIRMATIVE ACTION EMPLOYER: Services provided on a nondiscriminatory basis.</w:t>
    </w:r>
  </w:p>
  <w:p w:rsidR="00843AB9" w:rsidRDefault="00843AB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3B0D" w:rsidRDefault="00E63B0D">
      <w:r>
        <w:separator/>
      </w:r>
    </w:p>
  </w:footnote>
  <w:footnote w:type="continuationSeparator" w:id="0">
    <w:p w:rsidR="00E63B0D" w:rsidRDefault="00E63B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B9" w:rsidRDefault="00843AB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3AB9" w:rsidRDefault="00843AB9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4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728"/>
      <w:gridCol w:w="6570"/>
      <w:gridCol w:w="1944"/>
    </w:tblGrid>
    <w:tr w:rsidR="00843AB9" w:rsidTr="006D6284">
      <w:trPr>
        <w:cantSplit/>
        <w:trHeight w:val="706"/>
      </w:trPr>
      <w:tc>
        <w:tcPr>
          <w:tcW w:w="1728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:rsidR="00843AB9" w:rsidRPr="000E40B3" w:rsidRDefault="00843AB9" w:rsidP="001359F0">
          <w:pPr>
            <w:pStyle w:val="Header"/>
            <w:tabs>
              <w:tab w:val="clear" w:pos="4320"/>
              <w:tab w:val="clear" w:pos="8640"/>
              <w:tab w:val="center" w:pos="570"/>
            </w:tabs>
            <w:ind w:left="-180" w:hanging="156"/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>
                    <wp:simplePos x="0" y="0"/>
                    <wp:positionH relativeFrom="column">
                      <wp:posOffset>-91440</wp:posOffset>
                    </wp:positionH>
                    <wp:positionV relativeFrom="paragraph">
                      <wp:posOffset>110490</wp:posOffset>
                    </wp:positionV>
                    <wp:extent cx="1076325" cy="815340"/>
                    <wp:effectExtent l="0" t="0" r="0" b="3810"/>
                    <wp:wrapNone/>
                    <wp:docPr id="2" name="Text Box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076325" cy="81534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3AB9" w:rsidRDefault="00843AB9">
                                <w:r>
                                  <w:rPr>
                                    <w:noProof/>
                                  </w:rPr>
                                  <w:drawing>
                                    <wp:inline distT="0" distB="0" distL="0" distR="0" wp14:anchorId="24AACE92" wp14:editId="47C36A84">
                                      <wp:extent cx="853440" cy="723900"/>
                                      <wp:effectExtent l="0" t="0" r="3810" b="0"/>
                                      <wp:docPr id="4" name="Picture 1" descr="DHSS Logo Final bw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 descr="DHSS Logo Final bw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53440" cy="72390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sp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6" type="#_x0000_t202" style="position:absolute;left:0;text-align:left;margin-left:-7.2pt;margin-top:8.7pt;width:84.75pt;height:6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" filled="f" stroked="f">
                    <v:textbox style="mso-fit-shape-to-text:t">
                      <w:txbxContent>
                        <w:p w:rsidR="00843AB9" w:rsidRDefault="00843AB9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4AACE92" wp14:editId="47C36A84">
                                <wp:extent cx="853440" cy="723900"/>
                                <wp:effectExtent l="0" t="0" r="3810" b="0"/>
                                <wp:docPr id="4" name="Picture 1" descr="DHSS Logo Final bw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DHSS Logo Final bw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53440" cy="723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tab/>
          </w:r>
          <w:r>
            <w:tab/>
          </w:r>
        </w:p>
      </w:tc>
      <w:tc>
        <w:tcPr>
          <w:tcW w:w="6570" w:type="dxa"/>
          <w:tcBorders>
            <w:top w:val="nil"/>
            <w:left w:val="nil"/>
            <w:bottom w:val="single" w:sz="4" w:space="0" w:color="auto"/>
            <w:right w:val="nil"/>
          </w:tcBorders>
          <w:vAlign w:val="center"/>
        </w:tcPr>
        <w:p w:rsidR="00843AB9" w:rsidRDefault="00843AB9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</w:p>
        <w:p w:rsidR="00843AB9" w:rsidRDefault="00843AB9">
          <w:pPr>
            <w:pStyle w:val="Header"/>
            <w:ind w:hanging="108"/>
            <w:rPr>
              <w:rFonts w:ascii="Arial Narrow" w:hAnsi="Arial Narrow" w:cs="Arial"/>
              <w:b/>
              <w:bCs/>
              <w:sz w:val="22"/>
            </w:rPr>
          </w:pPr>
          <w:r>
            <w:rPr>
              <w:rFonts w:ascii="Arial Narrow" w:hAnsi="Arial Narrow" w:cs="Arial"/>
              <w:b/>
              <w:bCs/>
              <w:sz w:val="22"/>
            </w:rPr>
            <w:t>Missouri Department of Health and Senior Services</w:t>
          </w:r>
        </w:p>
        <w:p w:rsidR="00843AB9" w:rsidRDefault="00843AB9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P.O. Box 570, Jefferson City, MO 65102-0570   Phone: 573-751-6400            FAX: 573-751-6010</w:t>
          </w:r>
        </w:p>
        <w:p w:rsidR="00843AB9" w:rsidRDefault="00843AB9" w:rsidP="00606F7D">
          <w:pPr>
            <w:pStyle w:val="Header"/>
            <w:ind w:hanging="108"/>
            <w:rPr>
              <w:rFonts w:cs="Arial"/>
              <w:sz w:val="15"/>
            </w:rPr>
          </w:pPr>
          <w:r>
            <w:rPr>
              <w:rFonts w:cs="Arial"/>
              <w:sz w:val="15"/>
            </w:rPr>
            <w:t>RELAY MISSOURI for Hearing and Speech Impaired: 1-800-735-2466    VOICE: 1-866-735-2460</w:t>
          </w:r>
        </w:p>
      </w:tc>
      <w:tc>
        <w:tcPr>
          <w:tcW w:w="1944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843AB9" w:rsidRDefault="00843AB9" w:rsidP="00B070FB">
          <w:pPr>
            <w:pStyle w:val="Header"/>
            <w:ind w:right="-108" w:hanging="108"/>
            <w:jc w:val="center"/>
            <w:rPr>
              <w:rFonts w:cs="Arial"/>
            </w:rPr>
          </w:pPr>
          <w:r>
            <w:rPr>
              <w:rFonts w:cs="Arial"/>
              <w:b/>
              <w:noProof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-266700</wp:posOffset>
                    </wp:positionV>
                    <wp:extent cx="841375" cy="709930"/>
                    <wp:effectExtent l="0" t="0" r="0" b="4445"/>
                    <wp:wrapNone/>
                    <wp:docPr id="1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841375" cy="70993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43AB9" w:rsidRDefault="00843AB9"/>
                            </w:txbxContent>
                          </wps:txbx>
                          <wps:bodyPr rot="0" vert="horz" wrap="non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id="Text Box 6" o:spid="_x0000_s1027" type="#_x0000_t202" style="position:absolute;left:0;text-align:left;margin-left:17.85pt;margin-top:-21pt;width:66.25pt;height:55.9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" filled="f" stroked="f">
                    <v:textbox>
                      <w:txbxContent>
                        <w:p w:rsidR="00843AB9" w:rsidRDefault="00843AB9"/>
                      </w:txbxContent>
                    </v:textbox>
                  </v:shape>
                </w:pict>
              </mc:Fallback>
            </mc:AlternateContent>
          </w:r>
          <w:r>
            <w:rPr>
              <w:rFonts w:cs="Arial"/>
              <w:b/>
            </w:rPr>
            <w:t xml:space="preserve"> </w:t>
          </w:r>
          <w:r>
            <w:rPr>
              <w:rFonts w:cs="Arial"/>
              <w:b/>
              <w:noProof/>
            </w:rPr>
            <w:drawing>
              <wp:inline distT="0" distB="0" distL="0" distR="0" wp14:anchorId="18236770" wp14:editId="2143EA76">
                <wp:extent cx="655320" cy="662940"/>
                <wp:effectExtent l="0" t="0" r="0" b="3810"/>
                <wp:docPr id="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5320" cy="6629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43AB9" w:rsidTr="006D6284">
      <w:trPr>
        <w:cantSplit/>
        <w:trHeight w:val="553"/>
      </w:trPr>
      <w:tc>
        <w:tcPr>
          <w:tcW w:w="1728" w:type="dxa"/>
          <w:vMerge/>
          <w:tcBorders>
            <w:top w:val="single" w:sz="4" w:space="0" w:color="auto"/>
            <w:left w:val="nil"/>
            <w:bottom w:val="nil"/>
            <w:right w:val="nil"/>
          </w:tcBorders>
        </w:tcPr>
        <w:p w:rsidR="00843AB9" w:rsidRDefault="00843AB9">
          <w:pPr>
            <w:pStyle w:val="Header"/>
          </w:pPr>
        </w:p>
      </w:tc>
      <w:tc>
        <w:tcPr>
          <w:tcW w:w="6570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43AB9" w:rsidRDefault="00843AB9">
          <w:pPr>
            <w:pStyle w:val="Header"/>
            <w:ind w:hanging="108"/>
            <w:rPr>
              <w:b/>
              <w:bCs/>
              <w:sz w:val="4"/>
            </w:rPr>
          </w:pPr>
        </w:p>
        <w:p w:rsidR="00843AB9" w:rsidRDefault="00843AB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b/>
              <w:sz w:val="16"/>
              <w:szCs w:val="16"/>
            </w:rPr>
            <w:t>Randall W. Williams, MD, FACOG</w:t>
          </w:r>
        </w:p>
        <w:p w:rsidR="00843AB9" w:rsidRPr="00932D40" w:rsidRDefault="00843AB9" w:rsidP="00932D40">
          <w:pPr>
            <w:pStyle w:val="Header"/>
            <w:ind w:hanging="108"/>
            <w:rPr>
              <w:b/>
              <w:sz w:val="16"/>
              <w:szCs w:val="16"/>
            </w:rPr>
          </w:pPr>
          <w:r>
            <w:rPr>
              <w:sz w:val="14"/>
            </w:rPr>
            <w:t>Director</w:t>
          </w:r>
        </w:p>
      </w:tc>
      <w:tc>
        <w:tcPr>
          <w:tcW w:w="1944" w:type="dxa"/>
          <w:tcBorders>
            <w:top w:val="single" w:sz="4" w:space="0" w:color="auto"/>
            <w:left w:val="nil"/>
            <w:bottom w:val="nil"/>
            <w:right w:val="nil"/>
          </w:tcBorders>
        </w:tcPr>
        <w:p w:rsidR="00843AB9" w:rsidRDefault="00843AB9" w:rsidP="00995AD8">
          <w:pPr>
            <w:pStyle w:val="Header"/>
            <w:jc w:val="center"/>
            <w:rPr>
              <w:b/>
              <w:bCs/>
              <w:sz w:val="4"/>
            </w:rPr>
          </w:pPr>
        </w:p>
        <w:p w:rsidR="00843AB9" w:rsidRDefault="00843AB9" w:rsidP="00742E0F">
          <w:pPr>
            <w:pStyle w:val="Header"/>
            <w:ind w:left="-6" w:right="-288"/>
            <w:jc w:val="center"/>
            <w:rPr>
              <w:b/>
              <w:bCs/>
              <w:sz w:val="16"/>
            </w:rPr>
          </w:pPr>
          <w:r>
            <w:rPr>
              <w:b/>
              <w:bCs/>
              <w:sz w:val="16"/>
            </w:rPr>
            <w:t>Eric R. Greitens</w:t>
          </w:r>
        </w:p>
        <w:p w:rsidR="00843AB9" w:rsidRDefault="00843AB9" w:rsidP="00742E0F">
          <w:pPr>
            <w:pStyle w:val="Header"/>
            <w:jc w:val="center"/>
            <w:rPr>
              <w:sz w:val="14"/>
            </w:rPr>
          </w:pPr>
          <w:r>
            <w:rPr>
              <w:sz w:val="14"/>
            </w:rPr>
            <w:t xml:space="preserve">    Governor</w:t>
          </w:r>
        </w:p>
      </w:tc>
    </w:tr>
  </w:tbl>
  <w:p w:rsidR="00843AB9" w:rsidRDefault="00843AB9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754E87"/>
    <w:multiLevelType w:val="hybridMultilevel"/>
    <w:tmpl w:val="B69C370A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5161069"/>
    <w:multiLevelType w:val="hybridMultilevel"/>
    <w:tmpl w:val="49AA7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ocumentProtection w:edit="readOnly" w:enforcement="1" w:cryptProviderType="rsaFull" w:cryptAlgorithmClass="hash" w:cryptAlgorithmType="typeAny" w:cryptAlgorithmSid="4" w:cryptSpinCount="100000" w:hash="YrQHqQQagwlIF5QSfHsZ5i6YpZo=" w:salt="qL229BFeSWD6XIEjR6lEpg=="/>
  <w:defaultTabStop w:val="720"/>
  <w:drawingGridHorizontalSpacing w:val="100"/>
  <w:displayHorizontalDrawingGridEvery w:val="2"/>
  <w:displayVerticalDrawingGridEvery w:val="2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24BC"/>
    <w:rsid w:val="00005F55"/>
    <w:rsid w:val="000356ED"/>
    <w:rsid w:val="00052C63"/>
    <w:rsid w:val="000E40B3"/>
    <w:rsid w:val="000F0F12"/>
    <w:rsid w:val="00105609"/>
    <w:rsid w:val="001359F0"/>
    <w:rsid w:val="00174334"/>
    <w:rsid w:val="001A3A65"/>
    <w:rsid w:val="001E1136"/>
    <w:rsid w:val="002015CA"/>
    <w:rsid w:val="002030DE"/>
    <w:rsid w:val="00244AB5"/>
    <w:rsid w:val="002554DF"/>
    <w:rsid w:val="00270EBC"/>
    <w:rsid w:val="002718D1"/>
    <w:rsid w:val="002848E7"/>
    <w:rsid w:val="003215FA"/>
    <w:rsid w:val="00367CB9"/>
    <w:rsid w:val="003F03CB"/>
    <w:rsid w:val="00437182"/>
    <w:rsid w:val="00482914"/>
    <w:rsid w:val="004948CD"/>
    <w:rsid w:val="004A415D"/>
    <w:rsid w:val="004E222E"/>
    <w:rsid w:val="00505E51"/>
    <w:rsid w:val="00517C98"/>
    <w:rsid w:val="005827DA"/>
    <w:rsid w:val="00606F7D"/>
    <w:rsid w:val="00637F2D"/>
    <w:rsid w:val="0068070B"/>
    <w:rsid w:val="00690D37"/>
    <w:rsid w:val="00696A6F"/>
    <w:rsid w:val="006B0D58"/>
    <w:rsid w:val="006B2FE3"/>
    <w:rsid w:val="006D6284"/>
    <w:rsid w:val="006E3AFA"/>
    <w:rsid w:val="006F405C"/>
    <w:rsid w:val="00712F27"/>
    <w:rsid w:val="007319DB"/>
    <w:rsid w:val="00742E0F"/>
    <w:rsid w:val="00744AD3"/>
    <w:rsid w:val="007872A2"/>
    <w:rsid w:val="007E64FA"/>
    <w:rsid w:val="007F129A"/>
    <w:rsid w:val="00825BC6"/>
    <w:rsid w:val="008305C6"/>
    <w:rsid w:val="00843AB9"/>
    <w:rsid w:val="008C2017"/>
    <w:rsid w:val="008C2F9B"/>
    <w:rsid w:val="00925C1D"/>
    <w:rsid w:val="00925F6A"/>
    <w:rsid w:val="00932D40"/>
    <w:rsid w:val="00935266"/>
    <w:rsid w:val="009404A4"/>
    <w:rsid w:val="0099016B"/>
    <w:rsid w:val="00995AD8"/>
    <w:rsid w:val="009A2842"/>
    <w:rsid w:val="009A7FA9"/>
    <w:rsid w:val="009C3AA7"/>
    <w:rsid w:val="009C4DA7"/>
    <w:rsid w:val="009D0503"/>
    <w:rsid w:val="00A31A2C"/>
    <w:rsid w:val="00A93CA1"/>
    <w:rsid w:val="00AE5D04"/>
    <w:rsid w:val="00AF49BD"/>
    <w:rsid w:val="00B070FB"/>
    <w:rsid w:val="00B424BC"/>
    <w:rsid w:val="00B7325B"/>
    <w:rsid w:val="00B7471C"/>
    <w:rsid w:val="00B87590"/>
    <w:rsid w:val="00BA1427"/>
    <w:rsid w:val="00BB3C1D"/>
    <w:rsid w:val="00BD5126"/>
    <w:rsid w:val="00BF2181"/>
    <w:rsid w:val="00C421B5"/>
    <w:rsid w:val="00C82DB2"/>
    <w:rsid w:val="00CA0AD6"/>
    <w:rsid w:val="00CF1DEE"/>
    <w:rsid w:val="00D03C1E"/>
    <w:rsid w:val="00D17E30"/>
    <w:rsid w:val="00D31334"/>
    <w:rsid w:val="00DA6ACD"/>
    <w:rsid w:val="00DB0051"/>
    <w:rsid w:val="00DC5AA4"/>
    <w:rsid w:val="00DD0CCE"/>
    <w:rsid w:val="00E03103"/>
    <w:rsid w:val="00E10E41"/>
    <w:rsid w:val="00E60113"/>
    <w:rsid w:val="00E63B0D"/>
    <w:rsid w:val="00E70751"/>
    <w:rsid w:val="00E76BF9"/>
    <w:rsid w:val="00EA0621"/>
    <w:rsid w:val="00EB74E8"/>
    <w:rsid w:val="00EB7749"/>
    <w:rsid w:val="00ED4BC7"/>
    <w:rsid w:val="00F44F9E"/>
    <w:rsid w:val="00F64CFA"/>
    <w:rsid w:val="00F66015"/>
    <w:rsid w:val="00F80454"/>
    <w:rsid w:val="00FA1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43A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55"/>
    <w:rPr>
      <w:rFonts w:ascii="Arial" w:hAnsi="Arial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005F5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005F55"/>
    <w:pPr>
      <w:tabs>
        <w:tab w:val="center" w:pos="4320"/>
        <w:tab w:val="right" w:pos="8640"/>
      </w:tabs>
    </w:pPr>
  </w:style>
  <w:style w:type="character" w:styleId="Hyperlink">
    <w:name w:val="Hyperlink"/>
    <w:semiHidden/>
    <w:rsid w:val="00005F55"/>
    <w:rPr>
      <w:color w:val="0000FF"/>
      <w:u w:val="single"/>
    </w:rPr>
  </w:style>
  <w:style w:type="character" w:styleId="FollowedHyperlink">
    <w:name w:val="FollowedHyperlink"/>
    <w:semiHidden/>
    <w:rsid w:val="00005F55"/>
    <w:rPr>
      <w:color w:val="800080"/>
      <w:u w:val="single"/>
    </w:rPr>
  </w:style>
  <w:style w:type="character" w:styleId="PageNumber">
    <w:name w:val="page number"/>
    <w:basedOn w:val="DefaultParagraphFont"/>
    <w:semiHidden/>
    <w:rsid w:val="00005F55"/>
  </w:style>
  <w:style w:type="paragraph" w:styleId="BalloonText">
    <w:name w:val="Balloon Text"/>
    <w:basedOn w:val="Normal"/>
    <w:link w:val="BalloonTextChar"/>
    <w:uiPriority w:val="99"/>
    <w:semiHidden/>
    <w:unhideWhenUsed/>
    <w:rsid w:val="00BF218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F2181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semiHidden/>
    <w:rsid w:val="00742E0F"/>
    <w:rPr>
      <w:rFonts w:ascii="Arial" w:hAnsi="Arial"/>
      <w:szCs w:val="24"/>
    </w:rPr>
  </w:style>
  <w:style w:type="paragraph" w:styleId="ListParagraph">
    <w:name w:val="List Paragraph"/>
    <w:basedOn w:val="Normal"/>
    <w:uiPriority w:val="34"/>
    <w:qFormat/>
    <w:rsid w:val="00843A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6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hyperlink" Target="mailto:APSPolicy@health.mo.gov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health.mo.gov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Templates\0-DHSSLetterhead%2011-6-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079B0-19AB-4261-9DFF-59B39EB7D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0-DHSSLetterhead 11-6-17.dotx</Template>
  <TotalTime>3</TotalTime>
  <Pages>2</Pages>
  <Words>468</Words>
  <Characters>2668</Characters>
  <Application>Microsoft Office Word</Application>
  <DocSecurity>8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cccccc</vt:lpstr>
    </vt:vector>
  </TitlesOfParts>
  <Company>Missouri Department of Health and Senior Services</Company>
  <LinksUpToDate>false</LinksUpToDate>
  <CharactersWithSpaces>3130</CharactersWithSpaces>
  <SharedDoc>false</SharedDoc>
  <HLinks>
    <vt:vector size="6" baseType="variant">
      <vt:variant>
        <vt:i4>393245</vt:i4>
      </vt:variant>
      <vt:variant>
        <vt:i4>0</vt:i4>
      </vt:variant>
      <vt:variant>
        <vt:i4>0</vt:i4>
      </vt:variant>
      <vt:variant>
        <vt:i4>5</vt:i4>
      </vt:variant>
      <vt:variant>
        <vt:lpwstr>http://www.health.mo.gov/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cccccc</dc:title>
  <dc:creator>maaset</dc:creator>
  <cp:lastModifiedBy>Patrickus, Marsha</cp:lastModifiedBy>
  <cp:revision>5</cp:revision>
  <cp:lastPrinted>2017-11-02T14:20:00Z</cp:lastPrinted>
  <dcterms:created xsi:type="dcterms:W3CDTF">2018-03-12T15:51:00Z</dcterms:created>
  <dcterms:modified xsi:type="dcterms:W3CDTF">2018-03-12T15:53:00Z</dcterms:modified>
</cp:coreProperties>
</file>