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259F" w14:textId="77777777" w:rsidR="003206C0" w:rsidRDefault="003206C0" w:rsidP="003206C0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  <w:r>
        <w:t xml:space="preserve"> </w:t>
      </w:r>
      <w:r>
        <w:rPr>
          <w:rFonts w:ascii="Times New Roman" w:hAnsi="Times New Roman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0"/>
    </w:p>
    <w:p w14:paraId="6B742232" w14:textId="77777777" w:rsidR="003206C0" w:rsidRDefault="003206C0" w:rsidP="003206C0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(DATE)</w:t>
      </w:r>
    </w:p>
    <w:p w14:paraId="6150C568" w14:textId="77777777" w:rsidR="003206C0" w:rsidRDefault="003206C0" w:rsidP="003206C0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</w:p>
    <w:p w14:paraId="72B220B0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369CEE15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Office of the Public Administrator</w:t>
      </w:r>
    </w:p>
    <w:p w14:paraId="3D667611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"/>
      <w:r>
        <w:rPr>
          <w:rFonts w:ascii="Times New Roman" w:hAnsi="Times New Roman"/>
          <w:sz w:val="24"/>
        </w:rPr>
        <w:t xml:space="preserve"> County</w:t>
      </w:r>
    </w:p>
    <w:p w14:paraId="1ECC4D3C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1EBBAF38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213DC891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RE:</w:t>
      </w:r>
      <w:r>
        <w:rPr>
          <w:rFonts w:ascii="Times New Roman" w:hAnsi="Times New Roman"/>
          <w:sz w:val="24"/>
        </w:rPr>
        <w:tab/>
        <w:t xml:space="preserve">Designation under Sections 192.2435 and 192.2505, </w:t>
      </w:r>
      <w:proofErr w:type="spellStart"/>
      <w:r>
        <w:rPr>
          <w:rFonts w:ascii="Times New Roman" w:hAnsi="Times New Roman"/>
          <w:sz w:val="24"/>
        </w:rPr>
        <w:t>RSMo</w:t>
      </w:r>
      <w:proofErr w:type="spellEnd"/>
    </w:p>
    <w:p w14:paraId="5A44389E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063CEC5B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whom it may concern:</w:t>
      </w:r>
    </w:p>
    <w:p w14:paraId="6A440233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4E153FA2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This letter serves to confirm the oral designation made by telephone on the </w:t>
      </w:r>
      <w:r>
        <w:rPr>
          <w:rFonts w:ascii="Times New Roman" w:hAnsi="Times New Roman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2"/>
      <w:r>
        <w:rPr>
          <w:rFonts w:ascii="Times New Roman" w:hAnsi="Times New Roman"/>
          <w:sz w:val="24"/>
        </w:rPr>
        <w:t xml:space="preserve"> day of </w:t>
      </w:r>
      <w:r>
        <w:rPr>
          <w:rFonts w:ascii="Times New Roman" w:hAnsi="Times New Roman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3"/>
      <w:r>
        <w:rPr>
          <w:rFonts w:ascii="Times New Roman" w:hAnsi="Times New Roman"/>
          <w:sz w:val="24"/>
        </w:rPr>
        <w:t xml:space="preserve"> month, of </w:t>
      </w:r>
      <w:r>
        <w:rPr>
          <w:rFonts w:ascii="Times New Roman" w:hAnsi="Times New Roman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4"/>
      <w:r>
        <w:rPr>
          <w:rFonts w:ascii="Times New Roman" w:hAnsi="Times New Roman"/>
          <w:sz w:val="24"/>
        </w:rPr>
        <w:t xml:space="preserve"> year by the Missouri Department of Health and Senior Services, pursuant to Sections 192.2435, </w:t>
      </w:r>
      <w:proofErr w:type="spellStart"/>
      <w:r>
        <w:rPr>
          <w:rFonts w:ascii="Times New Roman" w:hAnsi="Times New Roman"/>
          <w:sz w:val="24"/>
        </w:rPr>
        <w:t>RSMo</w:t>
      </w:r>
      <w:proofErr w:type="spellEnd"/>
      <w:r>
        <w:rPr>
          <w:rFonts w:ascii="Times New Roman" w:hAnsi="Times New Roman"/>
          <w:sz w:val="24"/>
        </w:rPr>
        <w:t xml:space="preserve">, and192.2505, </w:t>
      </w:r>
      <w:proofErr w:type="spellStart"/>
      <w:r>
        <w:rPr>
          <w:rFonts w:ascii="Times New Roman" w:hAnsi="Times New Roman"/>
          <w:sz w:val="24"/>
        </w:rPr>
        <w:t>RSMo</w:t>
      </w:r>
      <w:proofErr w:type="spellEnd"/>
      <w:r>
        <w:rPr>
          <w:rFonts w:ascii="Times New Roman" w:hAnsi="Times New Roman"/>
          <w:sz w:val="24"/>
        </w:rPr>
        <w:t xml:space="preserve">, designating the Office of the Public Administrator, </w:t>
      </w:r>
      <w:r>
        <w:rPr>
          <w:rFonts w:ascii="Times New Roman" w:hAnsi="Times New Roman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5"/>
      <w:r>
        <w:rPr>
          <w:rFonts w:ascii="Times New Roman" w:hAnsi="Times New Roman"/>
          <w:sz w:val="24"/>
        </w:rPr>
        <w:t xml:space="preserve"> County, and/or its legal counsel as a person or agency permitted to access information contained in or examine or copy the department’s records maintained under Chapter 192, </w:t>
      </w:r>
      <w:proofErr w:type="spellStart"/>
      <w:r>
        <w:rPr>
          <w:rFonts w:ascii="Times New Roman" w:hAnsi="Times New Roman"/>
          <w:sz w:val="24"/>
        </w:rPr>
        <w:t>RSMo</w:t>
      </w:r>
      <w:proofErr w:type="spellEnd"/>
      <w:r>
        <w:rPr>
          <w:rFonts w:ascii="Times New Roman" w:hAnsi="Times New Roman"/>
          <w:sz w:val="24"/>
        </w:rPr>
        <w:t xml:space="preserve">. This designation is made for the sole purpose of the Office of the Public Administrator determining whether to pursue guardianship and/or conservatorship for </w:t>
      </w:r>
      <w:r>
        <w:rPr>
          <w:rFonts w:ascii="Times New Roman" w:hAnsi="Times New Roman"/>
          <w:sz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6"/>
      <w:r>
        <w:rPr>
          <w:rFonts w:ascii="Times New Roman" w:hAnsi="Times New Roman"/>
          <w:sz w:val="24"/>
        </w:rPr>
        <w:t xml:space="preserve"> in </w:t>
      </w:r>
      <w:r>
        <w:rPr>
          <w:rFonts w:ascii="Times New Roman" w:hAnsi="Times New Roman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7"/>
      <w:r>
        <w:rPr>
          <w:rFonts w:ascii="Times New Roman" w:hAnsi="Times New Roman"/>
          <w:sz w:val="24"/>
        </w:rPr>
        <w:t xml:space="preserve"> County and, in the event the Office of the Public Administrator decides to seek guardianship and/or conservatorship for </w:t>
      </w:r>
      <w:r>
        <w:rPr>
          <w:rFonts w:ascii="Times New Roman" w:hAnsi="Times New Roman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8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for</w:t>
      </w:r>
      <w:proofErr w:type="spellEnd"/>
      <w:r>
        <w:rPr>
          <w:rFonts w:ascii="Times New Roman" w:hAnsi="Times New Roman"/>
          <w:sz w:val="24"/>
        </w:rPr>
        <w:t xml:space="preserve"> any appropriate action in support of that decision.</w:t>
      </w:r>
    </w:p>
    <w:p w14:paraId="20371347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7BEB5412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9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="Times New Roman" w:hAnsi="Times New Roman"/>
          <w:sz w:val="24"/>
        </w:rPr>
        <w:instrText xml:space="preserve"> FORMTEXT </w:instrTex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noProof/>
          <w:sz w:val="24"/>
        </w:rPr>
        <w:t> </w:t>
      </w:r>
      <w:r>
        <w:rPr>
          <w:rFonts w:ascii="Times New Roman" w:hAnsi="Times New Roman"/>
          <w:sz w:val="24"/>
        </w:rPr>
        <w:fldChar w:fldCharType="end"/>
      </w:r>
      <w:bookmarkEnd w:id="10"/>
    </w:p>
    <w:p w14:paraId="0E05291C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Date: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Name, title</w:t>
      </w:r>
    </w:p>
    <w:p w14:paraId="7706C04E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Department of Health and Senior Services</w:t>
      </w:r>
    </w:p>
    <w:p w14:paraId="590C65D3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4BAB224C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7F4FA4DB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2D74714D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672B67AB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HIPAA Compliance.</w:t>
      </w:r>
    </w:p>
    <w:p w14:paraId="0734FD04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16DB3987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These records may be released by the Missouri Department of Health and Senior Services under 45 CFR §164.512 (j), (“uses and disclosures to avert a serious threat to health or safety”) and Section 192.2415 (6) </w:t>
      </w:r>
      <w:proofErr w:type="spellStart"/>
      <w:r>
        <w:rPr>
          <w:rFonts w:ascii="Times New Roman" w:hAnsi="Times New Roman"/>
          <w:sz w:val="24"/>
        </w:rPr>
        <w:t>RSMo</w:t>
      </w:r>
      <w:proofErr w:type="spellEnd"/>
      <w:r>
        <w:rPr>
          <w:rFonts w:ascii="Times New Roman" w:hAnsi="Times New Roman"/>
          <w:sz w:val="24"/>
        </w:rPr>
        <w:t xml:space="preserve"> (“The coordination and cooperation with other state agencies and public and private agencies in exchange of information and the avoidance of duplication of services.”).</w:t>
      </w:r>
    </w:p>
    <w:p w14:paraId="733AB6EC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2E88757F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encl.</w:t>
      </w:r>
    </w:p>
    <w:p w14:paraId="4410430E" w14:textId="77777777" w:rsidR="003206C0" w:rsidRDefault="003206C0" w:rsidP="003206C0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14:paraId="2CBC1907" w14:textId="3EE95996" w:rsidR="00B7325B" w:rsidRPr="00482914" w:rsidRDefault="00B7325B" w:rsidP="003206C0">
      <w:pPr>
        <w:tabs>
          <w:tab w:val="left" w:pos="2220"/>
        </w:tabs>
      </w:pPr>
    </w:p>
    <w:sectPr w:rsidR="00B7325B" w:rsidRPr="00482914" w:rsidSect="00E10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8DE6" w14:textId="77777777" w:rsidR="00BD2805" w:rsidRDefault="00BD2805">
      <w:r>
        <w:separator/>
      </w:r>
    </w:p>
  </w:endnote>
  <w:endnote w:type="continuationSeparator" w:id="0">
    <w:p w14:paraId="48540F54" w14:textId="77777777" w:rsidR="00BD2805" w:rsidRDefault="00BD2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CBF8" w14:textId="77777777" w:rsidR="00E02B95" w:rsidRDefault="00E02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7060" w14:textId="77777777"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BB70" w14:textId="77777777" w:rsidR="001C66B8" w:rsidRPr="001C66B8" w:rsidRDefault="001C66B8" w:rsidP="001C66B8">
    <w:pPr>
      <w:pStyle w:val="Footer"/>
      <w:tabs>
        <w:tab w:val="clear" w:pos="4320"/>
        <w:tab w:val="center" w:pos="4680"/>
      </w:tabs>
      <w:jc w:val="center"/>
      <w:rPr>
        <w:rFonts w:ascii="Arial Black" w:hAnsi="Arial Black"/>
        <w:b/>
        <w:bCs/>
        <w:sz w:val="24"/>
      </w:rPr>
    </w:pPr>
    <w:r w:rsidRPr="001C66B8">
      <w:rPr>
        <w:rFonts w:ascii="Arial Black" w:hAnsi="Arial Black"/>
        <w:b/>
        <w:bCs/>
        <w:sz w:val="24"/>
      </w:rPr>
      <w:t>PROMOTING HEALTH AND SAFETY</w:t>
    </w:r>
  </w:p>
  <w:p w14:paraId="78579951" w14:textId="77777777" w:rsidR="001C66B8" w:rsidRPr="001C66B8" w:rsidRDefault="001C66B8" w:rsidP="001C66B8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 w:rsidRPr="001C66B8">
      <w:rPr>
        <w:rFonts w:cs="Arial"/>
        <w:sz w:val="16"/>
      </w:rPr>
      <w:t>The Missouri Department of Health and Senior Services’ vision is optimal health and safety for all Missourians, in all communities, for life.</w:t>
    </w:r>
    <w:r w:rsidRPr="001C66B8">
      <w:rPr>
        <w:rFonts w:cs="Arial"/>
        <w:sz w:val="15"/>
      </w:rPr>
      <w:t xml:space="preserve"> </w:t>
    </w:r>
  </w:p>
  <w:p w14:paraId="53A1AC44" w14:textId="77777777" w:rsidR="001C66B8" w:rsidRPr="001C66B8" w:rsidRDefault="001C66B8" w:rsidP="001C66B8">
    <w:pPr>
      <w:pStyle w:val="Footer"/>
      <w:tabs>
        <w:tab w:val="clear" w:pos="4320"/>
        <w:tab w:val="clear" w:pos="8640"/>
        <w:tab w:val="center" w:pos="4680"/>
      </w:tabs>
      <w:rPr>
        <w:sz w:val="15"/>
      </w:rPr>
    </w:pPr>
  </w:p>
  <w:p w14:paraId="7C5A7FA5" w14:textId="77777777" w:rsidR="001C66B8" w:rsidRDefault="001C66B8" w:rsidP="001C66B8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 w:rsidRPr="002A77D1">
      <w:rPr>
        <w:rFonts w:eastAsia="Arial"/>
        <w:noProof/>
        <w:color w:val="012169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54839E1" wp14:editId="5EE14647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6809552" cy="60835"/>
              <wp:effectExtent l="0" t="0" r="0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9552" cy="60835"/>
                        <a:chOff x="0" y="0"/>
                        <a:chExt cx="6809552" cy="131526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702052" y="0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5124262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3413157" y="4526"/>
                          <a:ext cx="1685290" cy="127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A2077A" id="Group 9" o:spid="_x0000_s1026" style="position:absolute;margin-left:0;margin-top:-.05pt;width:536.2pt;height:4.8pt;z-index:251660288;mso-position-horizontal:center;mso-position-horizontal-relative:margin;mso-height-relative:margin" coordsize="68095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">
              <v:rect id="Rectangle 10" o:spid="_x0000_s1027" style="position:absolute;width:16852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qi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Qyy8ygF48AQAA//8DAFBLAQItABQABgAIAAAAIQDb4fbL7gAAAIUBAAATAAAAAAAAAAAA&#10;AAAAAAAAAABbQ29udGVudF9UeXBlc10ueG1sUEsBAi0AFAAGAAgAAAAhAFr0LFu/AAAAFQEAAAsA&#10;AAAAAAAAAAAAAAAAHwEAAF9yZWxzLy5yZWxzUEsBAi0AFAAGAAgAAAAhAPKIaqLEAAAA2wAAAA8A&#10;AAAAAAAAAAAAAAAABwIAAGRycy9kb3ducmV2LnhtbFBLBQYAAAAAAwADALcAAAD4AgAAAAA=&#10;" fillcolor="black [3213]" stroked="f" strokeweight="1pt"/>
              <v:rect id="Rectangle 11" o:spid="_x0000_s1028" style="position:absolute;left:17020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" fillcolor="black [3213]" stroked="f" strokeweight="1pt"/>
              <v:rect id="Rectangle 12" o:spid="_x0000_s1029" style="position:absolute;left:51242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" fillcolor="black [3213]" stroked="f" strokeweight="1pt"/>
              <v:rect id="Rectangle 13" o:spid="_x0000_s1030" style="position:absolute;left:34131;top:45;width:16853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<w10:wrap anchorx="margin"/>
            </v:group>
          </w:pict>
        </mc:Fallback>
      </mc:AlternateContent>
    </w:r>
  </w:p>
  <w:p w14:paraId="36DFE011" w14:textId="77777777" w:rsidR="00005F55" w:rsidRDefault="00005F55" w:rsidP="001C66B8">
    <w:pPr>
      <w:pStyle w:val="Footer"/>
      <w:tabs>
        <w:tab w:val="clear" w:pos="4320"/>
        <w:tab w:val="center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4E763" w14:textId="77777777" w:rsidR="00BD2805" w:rsidRDefault="00BD2805">
      <w:r>
        <w:separator/>
      </w:r>
    </w:p>
  </w:footnote>
  <w:footnote w:type="continuationSeparator" w:id="0">
    <w:p w14:paraId="01988DB5" w14:textId="77777777" w:rsidR="00BD2805" w:rsidRDefault="00BD2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9178" w14:textId="77777777" w:rsidR="00E02B95" w:rsidRDefault="00E02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1CE" w14:textId="77777777" w:rsidR="00E02B95" w:rsidRDefault="00E02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005F55" w14:paraId="6556F4B3" w14:textId="77777777" w:rsidTr="00BF4159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5FBA0CD5" w14:textId="440DAFA8" w:rsidR="00005F55" w:rsidRPr="000E40B3" w:rsidRDefault="008C2017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bookmarkStart w:id="11" w:name="_Hlk187736620"/>
          <w:r>
            <w:tab/>
          </w:r>
          <w:r w:rsidR="00BF4159">
            <w:rPr>
              <w:noProof/>
            </w:rPr>
            <w:drawing>
              <wp:inline distT="0" distB="0" distL="0" distR="0" wp14:anchorId="59FEBC59" wp14:editId="1C8C7CB3">
                <wp:extent cx="739775" cy="739775"/>
                <wp:effectExtent l="0" t="0" r="0" b="3175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SS Logo Final bw 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70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F8B1E4B" w14:textId="77777777" w:rsidR="00AE7410" w:rsidRPr="00767397" w:rsidRDefault="00AE7410" w:rsidP="00AE7410">
          <w:pPr>
            <w:pStyle w:val="Header"/>
            <w:ind w:hanging="108"/>
            <w:rPr>
              <w:rFonts w:ascii="Arial Black" w:hAnsi="Arial Black" w:cs="Arial"/>
              <w:b/>
              <w:bCs/>
              <w:sz w:val="24"/>
              <w:szCs w:val="28"/>
            </w:rPr>
          </w:pPr>
          <w:r w:rsidRPr="00767397">
            <w:rPr>
              <w:rFonts w:ascii="Arial Black" w:hAnsi="Arial Black" w:cs="Arial"/>
              <w:b/>
              <w:bCs/>
              <w:sz w:val="24"/>
              <w:szCs w:val="28"/>
            </w:rPr>
            <w:t>Missouri Department of Health and Senior Services</w:t>
          </w:r>
        </w:p>
        <w:p w14:paraId="17161810" w14:textId="77777777" w:rsidR="00AE7410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</w:t>
          </w:r>
          <w:r w:rsidR="00380AB3">
            <w:rPr>
              <w:rFonts w:cs="Arial"/>
              <w:sz w:val="15"/>
            </w:rPr>
            <w:t xml:space="preserve"> | P</w:t>
          </w:r>
          <w:r>
            <w:rPr>
              <w:rFonts w:cs="Arial"/>
              <w:sz w:val="15"/>
            </w:rPr>
            <w:t>hone: 573-751-6400</w:t>
          </w:r>
          <w:r w:rsidR="00380AB3">
            <w:rPr>
              <w:rFonts w:cs="Arial"/>
              <w:sz w:val="15"/>
            </w:rPr>
            <w:t xml:space="preserve"> | </w:t>
          </w:r>
          <w:r>
            <w:rPr>
              <w:rFonts w:cs="Arial"/>
              <w:sz w:val="15"/>
            </w:rPr>
            <w:t>FAX: 573-751-6010</w:t>
          </w:r>
        </w:p>
        <w:p w14:paraId="45A5D82E" w14:textId="77777777" w:rsidR="00DB703B" w:rsidRDefault="00AE7410" w:rsidP="00AE7410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 and Voice dial: 711</w:t>
          </w:r>
        </w:p>
        <w:p w14:paraId="066349A9" w14:textId="77777777" w:rsidR="001C66B8" w:rsidRDefault="001C66B8" w:rsidP="00AE7410">
          <w:pPr>
            <w:pStyle w:val="Header"/>
            <w:ind w:hanging="108"/>
            <w:rPr>
              <w:rFonts w:cs="Arial"/>
              <w:sz w:val="15"/>
            </w:rPr>
          </w:pP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A0D8FEB" w14:textId="0CC92623" w:rsidR="00005F55" w:rsidRDefault="00F80454" w:rsidP="00767397">
          <w:pPr>
            <w:pStyle w:val="Header"/>
            <w:ind w:right="-218" w:hanging="108"/>
            <w:jc w:val="center"/>
            <w:rPr>
              <w:rFonts w:cs="Arial"/>
            </w:rPr>
          </w:pPr>
          <w:r>
            <w:rPr>
              <w:rFonts w:cs="Arial"/>
              <w:b/>
            </w:rPr>
            <w:t xml:space="preserve"> </w:t>
          </w:r>
          <w:r w:rsidR="00767397">
            <w:rPr>
              <w:rFonts w:cs="Arial"/>
              <w:b/>
              <w:noProof/>
            </w:rPr>
            <w:drawing>
              <wp:inline distT="0" distB="0" distL="0" distR="0" wp14:anchorId="1BC8C0A5" wp14:editId="50D31EE2">
                <wp:extent cx="660395" cy="627344"/>
                <wp:effectExtent l="0" t="0" r="6985" b="190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63" cy="636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5F55" w14:paraId="5C24B89A" w14:textId="77777777" w:rsidTr="00BF4159">
      <w:trPr>
        <w:cantSplit/>
        <w:trHeight w:val="553"/>
      </w:trPr>
      <w:tc>
        <w:tcPr>
          <w:tcW w:w="1260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53F6580F" w14:textId="77777777" w:rsidR="00005F55" w:rsidRDefault="00005F55">
          <w:pPr>
            <w:pStyle w:val="Header"/>
          </w:pPr>
        </w:p>
      </w:tc>
      <w:tc>
        <w:tcPr>
          <w:tcW w:w="70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9D19E8" w14:textId="77777777"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14:paraId="21F7A6AF" w14:textId="77777777" w:rsidR="001C66B8" w:rsidRPr="001C66B8" w:rsidRDefault="001C66B8" w:rsidP="00932D40">
          <w:pPr>
            <w:pStyle w:val="Header"/>
            <w:ind w:hanging="108"/>
            <w:rPr>
              <w:b/>
              <w:sz w:val="10"/>
              <w:szCs w:val="16"/>
            </w:rPr>
          </w:pPr>
        </w:p>
        <w:p w14:paraId="34C25367" w14:textId="474819ED" w:rsidR="00932D40" w:rsidRDefault="00E02B95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Sarah Willson</w:t>
          </w:r>
        </w:p>
        <w:p w14:paraId="1E06695E" w14:textId="2FB9D2E9" w:rsidR="00005F55" w:rsidRPr="00932D40" w:rsidRDefault="005737E6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 xml:space="preserve"> </w:t>
          </w:r>
          <w:r w:rsidR="00105609"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704F18B" w14:textId="77777777"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14:paraId="13B35CC2" w14:textId="77777777" w:rsidR="001C66B8" w:rsidRPr="001C66B8" w:rsidRDefault="001C66B8" w:rsidP="00742E0F">
          <w:pPr>
            <w:pStyle w:val="Header"/>
            <w:ind w:left="-6" w:right="-288"/>
            <w:jc w:val="center"/>
            <w:rPr>
              <w:b/>
              <w:bCs/>
              <w:sz w:val="10"/>
            </w:rPr>
          </w:pPr>
        </w:p>
        <w:p w14:paraId="62FA2A4F" w14:textId="50E94DAF" w:rsidR="00742E0F" w:rsidRDefault="00767397" w:rsidP="00767397">
          <w:pPr>
            <w:pStyle w:val="Header"/>
            <w:ind w:left="-6" w:right="-130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Mike Kehoe</w:t>
          </w:r>
        </w:p>
        <w:p w14:paraId="3235FC81" w14:textId="77777777"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  <w:bookmarkEnd w:id="11"/>
  </w:tbl>
  <w:p w14:paraId="07CAE0B0" w14:textId="77777777" w:rsidR="00005F55" w:rsidRPr="001C66B8" w:rsidRDefault="00005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36D"/>
    <w:rsid w:val="00005F55"/>
    <w:rsid w:val="00016D13"/>
    <w:rsid w:val="00052C63"/>
    <w:rsid w:val="000E40B3"/>
    <w:rsid w:val="00105609"/>
    <w:rsid w:val="001128F7"/>
    <w:rsid w:val="001359F0"/>
    <w:rsid w:val="00174334"/>
    <w:rsid w:val="001A3A65"/>
    <w:rsid w:val="001B2BF3"/>
    <w:rsid w:val="001C66B8"/>
    <w:rsid w:val="0020116E"/>
    <w:rsid w:val="002030DE"/>
    <w:rsid w:val="00224177"/>
    <w:rsid w:val="002379E2"/>
    <w:rsid w:val="00247E83"/>
    <w:rsid w:val="00270E21"/>
    <w:rsid w:val="002718D1"/>
    <w:rsid w:val="002848E7"/>
    <w:rsid w:val="002F036D"/>
    <w:rsid w:val="00302378"/>
    <w:rsid w:val="003206C0"/>
    <w:rsid w:val="003215FA"/>
    <w:rsid w:val="0033535A"/>
    <w:rsid w:val="00367CB9"/>
    <w:rsid w:val="00380AB3"/>
    <w:rsid w:val="003F03CB"/>
    <w:rsid w:val="00482914"/>
    <w:rsid w:val="004A415D"/>
    <w:rsid w:val="004D257F"/>
    <w:rsid w:val="004E222E"/>
    <w:rsid w:val="00505E51"/>
    <w:rsid w:val="00517C98"/>
    <w:rsid w:val="005737E6"/>
    <w:rsid w:val="00606F7D"/>
    <w:rsid w:val="00637F2D"/>
    <w:rsid w:val="00642E8E"/>
    <w:rsid w:val="00690D37"/>
    <w:rsid w:val="00696A6F"/>
    <w:rsid w:val="006B0D58"/>
    <w:rsid w:val="006D6284"/>
    <w:rsid w:val="006E3AFA"/>
    <w:rsid w:val="006F405C"/>
    <w:rsid w:val="00712F27"/>
    <w:rsid w:val="0071465E"/>
    <w:rsid w:val="00735237"/>
    <w:rsid w:val="00742E0F"/>
    <w:rsid w:val="00744AD3"/>
    <w:rsid w:val="00767397"/>
    <w:rsid w:val="00794FCA"/>
    <w:rsid w:val="007E64FA"/>
    <w:rsid w:val="007F129A"/>
    <w:rsid w:val="008C2017"/>
    <w:rsid w:val="008C2F9B"/>
    <w:rsid w:val="008E303A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94C5D"/>
    <w:rsid w:val="00AE7410"/>
    <w:rsid w:val="00AF49BD"/>
    <w:rsid w:val="00B070FB"/>
    <w:rsid w:val="00B7325B"/>
    <w:rsid w:val="00B76110"/>
    <w:rsid w:val="00B87590"/>
    <w:rsid w:val="00BA1427"/>
    <w:rsid w:val="00BB3C1D"/>
    <w:rsid w:val="00BD2805"/>
    <w:rsid w:val="00BF2181"/>
    <w:rsid w:val="00BF4159"/>
    <w:rsid w:val="00C41386"/>
    <w:rsid w:val="00C421B5"/>
    <w:rsid w:val="00C43158"/>
    <w:rsid w:val="00C82DB2"/>
    <w:rsid w:val="00CA0AD6"/>
    <w:rsid w:val="00CD4337"/>
    <w:rsid w:val="00D03C1E"/>
    <w:rsid w:val="00D17E30"/>
    <w:rsid w:val="00D21235"/>
    <w:rsid w:val="00D31334"/>
    <w:rsid w:val="00DA317C"/>
    <w:rsid w:val="00DA6ACD"/>
    <w:rsid w:val="00DB703B"/>
    <w:rsid w:val="00DC5AA4"/>
    <w:rsid w:val="00E02B95"/>
    <w:rsid w:val="00E03103"/>
    <w:rsid w:val="00E10E41"/>
    <w:rsid w:val="00E1212B"/>
    <w:rsid w:val="00E35902"/>
    <w:rsid w:val="00E60113"/>
    <w:rsid w:val="00E70751"/>
    <w:rsid w:val="00E97A3F"/>
    <w:rsid w:val="00F44F9E"/>
    <w:rsid w:val="00F66015"/>
    <w:rsid w:val="00F8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AF84D"/>
  <w15:docId w15:val="{F2AAF6B0-30A8-4037-8BF4-43419742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742E0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0A97-9A45-4BC1-9748-A9ABFE3D6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1223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1455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Randall, Yvette</dc:creator>
  <cp:lastModifiedBy>Cochran, Rebecca</cp:lastModifiedBy>
  <cp:revision>4</cp:revision>
  <cp:lastPrinted>2017-11-02T14:20:00Z</cp:lastPrinted>
  <dcterms:created xsi:type="dcterms:W3CDTF">2025-01-14T14:48:00Z</dcterms:created>
  <dcterms:modified xsi:type="dcterms:W3CDTF">2025-02-27T17:32:00Z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b3c6aa645db15cd963f620ceba98d86b12e3fecf6b2d604295e5f9c162dc3b7d</vt:lpwstr>
  </property>
</Properties>
</file>