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E3" w:rsidRPr="009A0D41" w:rsidRDefault="00062F6A">
      <w:pPr>
        <w:rPr>
          <w:rFonts w:ascii="Arial" w:hAnsi="Arial" w:cs="Arial"/>
          <w:b/>
          <w:sz w:val="23"/>
          <w:szCs w:val="23"/>
        </w:rPr>
      </w:pPr>
      <w:r>
        <w:rPr>
          <w:rFonts w:ascii="Arial" w:hAnsi="Arial" w:cs="Arial"/>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4.8pt;margin-top:-19.3pt;width:223.2pt;height:150.95pt;z-index:251658240">
            <v:imagedata r:id="rId6" o:title=""/>
            <w10:wrap type="topAndBottom"/>
          </v:shape>
          <o:OLEObject Type="Embed" ProgID="MSPhotoEd.3" ShapeID="_x0000_s1026" DrawAspect="Content" ObjectID="_1569214053" r:id="rId7"/>
        </w:pict>
      </w:r>
      <w:r w:rsidR="00E459A2" w:rsidRPr="009A0D41">
        <w:rPr>
          <w:rFonts w:ascii="Arial" w:hAnsi="Arial" w:cs="Arial"/>
          <w:b/>
          <w:sz w:val="23"/>
          <w:szCs w:val="23"/>
        </w:rPr>
        <w:t>What is CACFP?</w:t>
      </w:r>
    </w:p>
    <w:p w:rsidR="00E459A2" w:rsidRPr="009A0D41" w:rsidRDefault="00E459A2">
      <w:pPr>
        <w:rPr>
          <w:rFonts w:ascii="Arial" w:hAnsi="Arial" w:cs="Arial"/>
          <w:sz w:val="23"/>
          <w:szCs w:val="23"/>
        </w:rPr>
      </w:pPr>
      <w:r w:rsidRPr="009A0D41">
        <w:rPr>
          <w:rFonts w:ascii="Arial" w:hAnsi="Arial" w:cs="Arial"/>
          <w:sz w:val="23"/>
          <w:szCs w:val="23"/>
        </w:rPr>
        <w:t>CACFP is the Child and Adult Care Food Program, a Federal program that provides reimbursement for healthy meals and snacks served to children and adults in day care settings</w:t>
      </w:r>
      <w:r w:rsidR="00F40B12">
        <w:rPr>
          <w:rFonts w:ascii="Arial" w:hAnsi="Arial" w:cs="Arial"/>
          <w:sz w:val="23"/>
          <w:szCs w:val="23"/>
        </w:rPr>
        <w:t>.</w:t>
      </w:r>
    </w:p>
    <w:p w:rsidR="00E459A2" w:rsidRPr="009A0D41" w:rsidRDefault="00E459A2">
      <w:pPr>
        <w:rPr>
          <w:rFonts w:ascii="Arial" w:hAnsi="Arial" w:cs="Arial"/>
          <w:sz w:val="23"/>
          <w:szCs w:val="23"/>
        </w:rPr>
      </w:pPr>
      <w:r w:rsidRPr="009A0D41">
        <w:rPr>
          <w:rFonts w:ascii="Arial" w:hAnsi="Arial" w:cs="Arial"/>
          <w:sz w:val="23"/>
          <w:szCs w:val="23"/>
        </w:rPr>
        <w:t>In Missouri, each day, more than 52,000 children and older adults participate in CACFP.  CACFP helps families meet the nutritional needs of their dependent children and vulnerable adults.  In addition, CACFP plays a vital role in improving the quality of child or adult care and making it affordable for many low-income families</w:t>
      </w:r>
      <w:r w:rsidR="00103D85">
        <w:rPr>
          <w:rFonts w:ascii="Arial" w:hAnsi="Arial" w:cs="Arial"/>
          <w:sz w:val="23"/>
          <w:szCs w:val="23"/>
        </w:rPr>
        <w:t>.</w:t>
      </w:r>
    </w:p>
    <w:p w:rsidR="00E459A2" w:rsidRPr="009A0D41" w:rsidRDefault="00E459A2">
      <w:pPr>
        <w:rPr>
          <w:rFonts w:ascii="Arial" w:hAnsi="Arial" w:cs="Arial"/>
          <w:sz w:val="23"/>
          <w:szCs w:val="23"/>
        </w:rPr>
      </w:pPr>
      <w:r w:rsidRPr="009A0D41">
        <w:rPr>
          <w:rFonts w:ascii="Arial" w:hAnsi="Arial" w:cs="Arial"/>
          <w:sz w:val="23"/>
          <w:szCs w:val="23"/>
        </w:rPr>
        <w:t>In addition to child care, CACFP helps make afterschool programs more appealing to at-risk youth.  By offering nutritious and tasty snacks and suppers in programs serving low income areas, centers can increase participation and know that youth are getting a healthy meal.</w:t>
      </w:r>
    </w:p>
    <w:p w:rsidR="009A0D41" w:rsidRPr="009A0D41" w:rsidRDefault="00E459A2">
      <w:pPr>
        <w:rPr>
          <w:rFonts w:ascii="Arial" w:hAnsi="Arial" w:cs="Arial"/>
          <w:sz w:val="23"/>
          <w:szCs w:val="23"/>
        </w:rPr>
      </w:pPr>
      <w:r w:rsidRPr="009A0D41">
        <w:rPr>
          <w:rFonts w:ascii="Arial" w:hAnsi="Arial" w:cs="Arial"/>
          <w:sz w:val="23"/>
          <w:szCs w:val="23"/>
        </w:rPr>
        <w:t>Ho</w:t>
      </w:r>
      <w:r w:rsidR="00F40B12">
        <w:rPr>
          <w:rFonts w:ascii="Arial" w:hAnsi="Arial" w:cs="Arial"/>
          <w:sz w:val="23"/>
          <w:szCs w:val="23"/>
        </w:rPr>
        <w:t>meless children and children fro</w:t>
      </w:r>
      <w:r w:rsidRPr="009A0D41">
        <w:rPr>
          <w:rFonts w:ascii="Arial" w:hAnsi="Arial" w:cs="Arial"/>
          <w:sz w:val="23"/>
          <w:szCs w:val="23"/>
        </w:rPr>
        <w:t>m temporarily displaced families can also receive up to three meals each day through shelters that operate the program.</w:t>
      </w:r>
    </w:p>
    <w:p w:rsidR="00F40B12" w:rsidRDefault="00F40B12">
      <w:pPr>
        <w:rPr>
          <w:rFonts w:ascii="Arial" w:hAnsi="Arial" w:cs="Arial"/>
          <w:b/>
          <w:sz w:val="23"/>
          <w:szCs w:val="23"/>
        </w:rPr>
      </w:pPr>
    </w:p>
    <w:p w:rsidR="00F40B12" w:rsidRDefault="00F40B12">
      <w:pPr>
        <w:rPr>
          <w:rFonts w:ascii="Arial" w:hAnsi="Arial" w:cs="Arial"/>
          <w:b/>
          <w:sz w:val="23"/>
          <w:szCs w:val="23"/>
        </w:rPr>
      </w:pPr>
    </w:p>
    <w:p w:rsidR="0036419A" w:rsidRPr="009A0D41" w:rsidRDefault="0036419A">
      <w:pPr>
        <w:rPr>
          <w:rFonts w:ascii="Arial" w:hAnsi="Arial" w:cs="Arial"/>
          <w:b/>
          <w:sz w:val="23"/>
          <w:szCs w:val="23"/>
        </w:rPr>
      </w:pPr>
      <w:r w:rsidRPr="009A0D41">
        <w:rPr>
          <w:rFonts w:ascii="Arial" w:hAnsi="Arial" w:cs="Arial"/>
          <w:b/>
          <w:sz w:val="23"/>
          <w:szCs w:val="23"/>
        </w:rPr>
        <w:t>Who is eligible for CACFP meals?</w:t>
      </w:r>
    </w:p>
    <w:p w:rsidR="0036419A" w:rsidRPr="009A0D41" w:rsidRDefault="0036419A" w:rsidP="009B461F">
      <w:pPr>
        <w:pStyle w:val="ListParagraph"/>
        <w:numPr>
          <w:ilvl w:val="0"/>
          <w:numId w:val="1"/>
        </w:numPr>
        <w:rPr>
          <w:rFonts w:ascii="Arial" w:hAnsi="Arial" w:cs="Arial"/>
          <w:sz w:val="23"/>
          <w:szCs w:val="23"/>
        </w:rPr>
      </w:pPr>
      <w:r w:rsidRPr="009A0D41">
        <w:rPr>
          <w:rFonts w:ascii="Arial" w:hAnsi="Arial" w:cs="Arial"/>
          <w:sz w:val="23"/>
          <w:szCs w:val="23"/>
        </w:rPr>
        <w:t>Children age 12 and under.</w:t>
      </w:r>
    </w:p>
    <w:p w:rsidR="0036419A" w:rsidRPr="009A0D41" w:rsidRDefault="0036419A" w:rsidP="009B461F">
      <w:pPr>
        <w:pStyle w:val="ListParagraph"/>
        <w:numPr>
          <w:ilvl w:val="0"/>
          <w:numId w:val="1"/>
        </w:numPr>
        <w:rPr>
          <w:rFonts w:ascii="Arial" w:hAnsi="Arial" w:cs="Arial"/>
          <w:sz w:val="23"/>
          <w:szCs w:val="23"/>
        </w:rPr>
      </w:pPr>
      <w:r w:rsidRPr="009A0D41">
        <w:rPr>
          <w:rFonts w:ascii="Arial" w:hAnsi="Arial" w:cs="Arial"/>
          <w:sz w:val="23"/>
          <w:szCs w:val="23"/>
        </w:rPr>
        <w:t>Migrant children age 15 and younger.</w:t>
      </w:r>
    </w:p>
    <w:p w:rsidR="0036419A" w:rsidRPr="009A0D41" w:rsidRDefault="0036419A" w:rsidP="009B461F">
      <w:pPr>
        <w:pStyle w:val="ListParagraph"/>
        <w:numPr>
          <w:ilvl w:val="0"/>
          <w:numId w:val="1"/>
        </w:numPr>
        <w:rPr>
          <w:rFonts w:ascii="Arial" w:hAnsi="Arial" w:cs="Arial"/>
          <w:sz w:val="23"/>
          <w:szCs w:val="23"/>
        </w:rPr>
      </w:pPr>
      <w:r w:rsidRPr="009A0D41">
        <w:rPr>
          <w:rFonts w:ascii="Arial" w:hAnsi="Arial" w:cs="Arial"/>
          <w:sz w:val="23"/>
          <w:szCs w:val="23"/>
        </w:rPr>
        <w:t>Youths through age 18 in afterschool programs</w:t>
      </w:r>
      <w:r w:rsidR="009B461F" w:rsidRPr="009A0D41">
        <w:rPr>
          <w:rFonts w:ascii="Arial" w:hAnsi="Arial" w:cs="Arial"/>
          <w:sz w:val="23"/>
          <w:szCs w:val="23"/>
        </w:rPr>
        <w:t>.</w:t>
      </w:r>
    </w:p>
    <w:p w:rsidR="009B461F" w:rsidRPr="009A0D41" w:rsidRDefault="009B461F" w:rsidP="009A0D41">
      <w:pPr>
        <w:pStyle w:val="ListParagraph"/>
        <w:numPr>
          <w:ilvl w:val="0"/>
          <w:numId w:val="1"/>
        </w:numPr>
        <w:rPr>
          <w:rFonts w:ascii="Arial" w:hAnsi="Arial" w:cs="Arial"/>
          <w:sz w:val="23"/>
          <w:szCs w:val="23"/>
        </w:rPr>
      </w:pPr>
      <w:r w:rsidRPr="009A0D41">
        <w:rPr>
          <w:rFonts w:ascii="Arial" w:hAnsi="Arial" w:cs="Arial"/>
          <w:sz w:val="23"/>
          <w:szCs w:val="23"/>
        </w:rPr>
        <w:t>F</w:t>
      </w:r>
      <w:r w:rsidR="0036419A" w:rsidRPr="009A0D41">
        <w:rPr>
          <w:rFonts w:ascii="Arial" w:hAnsi="Arial" w:cs="Arial"/>
          <w:sz w:val="23"/>
          <w:szCs w:val="23"/>
        </w:rPr>
        <w:t>un</w:t>
      </w:r>
      <w:r w:rsidRPr="009A0D41">
        <w:rPr>
          <w:rFonts w:ascii="Arial" w:hAnsi="Arial" w:cs="Arial"/>
          <w:sz w:val="23"/>
          <w:szCs w:val="23"/>
        </w:rPr>
        <w:t>ctionally impaired adult participants or adults age 60 or older enrolled in an adult day care center.</w:t>
      </w:r>
    </w:p>
    <w:p w:rsidR="009B461F" w:rsidRPr="009A0D41" w:rsidRDefault="009B461F">
      <w:pPr>
        <w:rPr>
          <w:rFonts w:ascii="Arial" w:hAnsi="Arial" w:cs="Arial"/>
          <w:b/>
          <w:sz w:val="23"/>
          <w:szCs w:val="23"/>
        </w:rPr>
      </w:pPr>
      <w:r w:rsidRPr="009A0D41">
        <w:rPr>
          <w:rFonts w:ascii="Arial" w:hAnsi="Arial" w:cs="Arial"/>
          <w:b/>
          <w:sz w:val="23"/>
          <w:szCs w:val="23"/>
        </w:rPr>
        <w:t>What kinds of meals are served?</w:t>
      </w:r>
    </w:p>
    <w:p w:rsidR="009B461F" w:rsidRPr="009A0D41" w:rsidRDefault="009B461F" w:rsidP="009B461F">
      <w:pPr>
        <w:pStyle w:val="ListParagraph"/>
        <w:numPr>
          <w:ilvl w:val="0"/>
          <w:numId w:val="2"/>
        </w:numPr>
        <w:rPr>
          <w:rFonts w:ascii="Arial" w:hAnsi="Arial" w:cs="Arial"/>
          <w:sz w:val="23"/>
          <w:szCs w:val="23"/>
        </w:rPr>
      </w:pPr>
      <w:r w:rsidRPr="009A0D41">
        <w:rPr>
          <w:rFonts w:ascii="Arial" w:hAnsi="Arial" w:cs="Arial"/>
          <w:sz w:val="23"/>
          <w:szCs w:val="23"/>
        </w:rPr>
        <w:t xml:space="preserve">Breakfast consists of a serving of milk, fruit or vegetable </w:t>
      </w:r>
      <w:r w:rsidR="00BB084C">
        <w:rPr>
          <w:rFonts w:ascii="Arial" w:hAnsi="Arial" w:cs="Arial"/>
          <w:sz w:val="23"/>
          <w:szCs w:val="23"/>
        </w:rPr>
        <w:t>and grain</w:t>
      </w:r>
      <w:r w:rsidRPr="009A0D41">
        <w:rPr>
          <w:rFonts w:ascii="Arial" w:hAnsi="Arial" w:cs="Arial"/>
          <w:sz w:val="23"/>
          <w:szCs w:val="23"/>
        </w:rPr>
        <w:t>.</w:t>
      </w:r>
    </w:p>
    <w:p w:rsidR="009B461F" w:rsidRPr="009A0D41" w:rsidRDefault="009B461F" w:rsidP="009B461F">
      <w:pPr>
        <w:pStyle w:val="ListParagraph"/>
        <w:numPr>
          <w:ilvl w:val="0"/>
          <w:numId w:val="2"/>
        </w:numPr>
        <w:rPr>
          <w:rFonts w:ascii="Arial" w:hAnsi="Arial" w:cs="Arial"/>
          <w:sz w:val="23"/>
          <w:szCs w:val="23"/>
        </w:rPr>
      </w:pPr>
      <w:r w:rsidRPr="009A0D41">
        <w:rPr>
          <w:rFonts w:ascii="Arial" w:hAnsi="Arial" w:cs="Arial"/>
          <w:sz w:val="23"/>
          <w:szCs w:val="23"/>
        </w:rPr>
        <w:t>Lunch and dinner r</w:t>
      </w:r>
      <w:r w:rsidR="00103D85">
        <w:rPr>
          <w:rFonts w:ascii="Arial" w:hAnsi="Arial" w:cs="Arial"/>
          <w:sz w:val="23"/>
          <w:szCs w:val="23"/>
        </w:rPr>
        <w:t>equire milk, grain, meat or meat</w:t>
      </w:r>
      <w:r w:rsidRPr="009A0D41">
        <w:rPr>
          <w:rFonts w:ascii="Arial" w:hAnsi="Arial" w:cs="Arial"/>
          <w:sz w:val="23"/>
          <w:szCs w:val="23"/>
        </w:rPr>
        <w:t xml:space="preserve"> alternate, fruit and vegetable.</w:t>
      </w:r>
    </w:p>
    <w:p w:rsidR="00F40B12" w:rsidRPr="00F40B12" w:rsidRDefault="009B461F" w:rsidP="00F40B12">
      <w:pPr>
        <w:pStyle w:val="ListParagraph"/>
        <w:numPr>
          <w:ilvl w:val="0"/>
          <w:numId w:val="2"/>
        </w:numPr>
        <w:rPr>
          <w:rFonts w:ascii="Arial" w:hAnsi="Arial" w:cs="Arial"/>
          <w:sz w:val="23"/>
          <w:szCs w:val="23"/>
        </w:rPr>
      </w:pPr>
      <w:r w:rsidRPr="009A0D41">
        <w:rPr>
          <w:rFonts w:ascii="Arial" w:hAnsi="Arial" w:cs="Arial"/>
          <w:sz w:val="23"/>
          <w:szCs w:val="23"/>
        </w:rPr>
        <w:t>Snacks include two of the five meal components:  milk, fruit, vegetable, grain or meat/meat alternate.</w:t>
      </w:r>
    </w:p>
    <w:p w:rsidR="009B461F" w:rsidRPr="009A0D41" w:rsidRDefault="009B461F">
      <w:pPr>
        <w:rPr>
          <w:rFonts w:ascii="Arial" w:hAnsi="Arial" w:cs="Arial"/>
          <w:b/>
          <w:sz w:val="23"/>
          <w:szCs w:val="23"/>
        </w:rPr>
      </w:pPr>
      <w:r w:rsidRPr="009A0D41">
        <w:rPr>
          <w:rFonts w:ascii="Arial" w:hAnsi="Arial" w:cs="Arial"/>
          <w:b/>
          <w:sz w:val="23"/>
          <w:szCs w:val="23"/>
        </w:rPr>
        <w:t>Which facilities can participate?</w:t>
      </w:r>
    </w:p>
    <w:p w:rsidR="009B461F" w:rsidRPr="009A0D41" w:rsidRDefault="009B461F">
      <w:pPr>
        <w:rPr>
          <w:rFonts w:ascii="Arial" w:hAnsi="Arial" w:cs="Arial"/>
          <w:sz w:val="23"/>
          <w:szCs w:val="23"/>
        </w:rPr>
      </w:pPr>
      <w:r w:rsidRPr="009A0D41">
        <w:rPr>
          <w:rFonts w:ascii="Arial" w:hAnsi="Arial" w:cs="Arial"/>
          <w:sz w:val="23"/>
          <w:szCs w:val="23"/>
        </w:rPr>
        <w:t>Many di</w:t>
      </w:r>
      <w:r w:rsidR="00F40B12">
        <w:rPr>
          <w:rFonts w:ascii="Arial" w:hAnsi="Arial" w:cs="Arial"/>
          <w:sz w:val="23"/>
          <w:szCs w:val="23"/>
        </w:rPr>
        <w:t>fferent facilities operate CACFP</w:t>
      </w:r>
      <w:r w:rsidRPr="009A0D41">
        <w:rPr>
          <w:rFonts w:ascii="Arial" w:hAnsi="Arial" w:cs="Arial"/>
          <w:sz w:val="23"/>
          <w:szCs w:val="23"/>
        </w:rPr>
        <w:t>, all sharing the common goal of bringing nutritious meals and snacks to participants.</w:t>
      </w:r>
    </w:p>
    <w:p w:rsidR="009B461F" w:rsidRPr="009A0D41" w:rsidRDefault="003A4FBE">
      <w:pPr>
        <w:rPr>
          <w:rFonts w:ascii="Arial" w:hAnsi="Arial" w:cs="Arial"/>
          <w:sz w:val="23"/>
          <w:szCs w:val="23"/>
        </w:rPr>
      </w:pPr>
      <w:r>
        <w:rPr>
          <w:rFonts w:ascii="Arial" w:hAnsi="Arial" w:cs="Arial"/>
          <w:b/>
          <w:sz w:val="23"/>
          <w:szCs w:val="23"/>
        </w:rPr>
        <w:t>Child C</w:t>
      </w:r>
      <w:r w:rsidR="009B461F" w:rsidRPr="009A0D41">
        <w:rPr>
          <w:rFonts w:ascii="Arial" w:hAnsi="Arial" w:cs="Arial"/>
          <w:b/>
          <w:sz w:val="23"/>
          <w:szCs w:val="23"/>
        </w:rPr>
        <w:t>are Centers:</w:t>
      </w:r>
      <w:r w:rsidR="009B461F" w:rsidRPr="009A0D41">
        <w:rPr>
          <w:rFonts w:ascii="Arial" w:hAnsi="Arial" w:cs="Arial"/>
          <w:sz w:val="23"/>
          <w:szCs w:val="23"/>
        </w:rPr>
        <w:t xml:space="preserve">  licensed or approved public or private</w:t>
      </w:r>
      <w:r w:rsidR="00CE1EEC" w:rsidRPr="009A0D41">
        <w:rPr>
          <w:rFonts w:ascii="Arial" w:hAnsi="Arial" w:cs="Arial"/>
          <w:sz w:val="23"/>
          <w:szCs w:val="23"/>
        </w:rPr>
        <w:t xml:space="preserve"> nonprofit child care centers, He</w:t>
      </w:r>
      <w:r w:rsidR="00BB084C">
        <w:rPr>
          <w:rFonts w:ascii="Arial" w:hAnsi="Arial" w:cs="Arial"/>
          <w:sz w:val="23"/>
          <w:szCs w:val="23"/>
        </w:rPr>
        <w:t>ad Start programs, and some for-</w:t>
      </w:r>
      <w:r w:rsidR="00CE1EEC" w:rsidRPr="009A0D41">
        <w:rPr>
          <w:rFonts w:ascii="Arial" w:hAnsi="Arial" w:cs="Arial"/>
          <w:sz w:val="23"/>
          <w:szCs w:val="23"/>
        </w:rPr>
        <w:t>profit centers serv</w:t>
      </w:r>
      <w:r w:rsidR="00BB084C">
        <w:rPr>
          <w:rFonts w:ascii="Arial" w:hAnsi="Arial" w:cs="Arial"/>
          <w:sz w:val="23"/>
          <w:szCs w:val="23"/>
        </w:rPr>
        <w:t>e meals to large numbers of low-</w:t>
      </w:r>
      <w:r w:rsidR="00CE1EEC" w:rsidRPr="009A0D41">
        <w:rPr>
          <w:rFonts w:ascii="Arial" w:hAnsi="Arial" w:cs="Arial"/>
          <w:sz w:val="23"/>
          <w:szCs w:val="23"/>
        </w:rPr>
        <w:t>income children.</w:t>
      </w:r>
    </w:p>
    <w:p w:rsidR="00CE1EEC" w:rsidRPr="009A0D41" w:rsidRDefault="00CE1EEC">
      <w:pPr>
        <w:rPr>
          <w:rFonts w:ascii="Arial" w:hAnsi="Arial" w:cs="Arial"/>
          <w:sz w:val="23"/>
          <w:szCs w:val="23"/>
        </w:rPr>
      </w:pPr>
      <w:r w:rsidRPr="009A0D41">
        <w:rPr>
          <w:rFonts w:ascii="Arial" w:hAnsi="Arial" w:cs="Arial"/>
          <w:b/>
          <w:sz w:val="23"/>
          <w:szCs w:val="23"/>
        </w:rPr>
        <w:t>Family Child Care Homes:</w:t>
      </w:r>
      <w:r w:rsidRPr="009A0D41">
        <w:rPr>
          <w:rFonts w:ascii="Arial" w:hAnsi="Arial" w:cs="Arial"/>
          <w:sz w:val="23"/>
          <w:szCs w:val="23"/>
        </w:rPr>
        <w:t xml:space="preserve">  small groups of children receive nonresidential child care in licensed or registered private homes.</w:t>
      </w:r>
    </w:p>
    <w:p w:rsidR="00CE1EEC" w:rsidRPr="009A0D41" w:rsidRDefault="00CE1EEC">
      <w:pPr>
        <w:rPr>
          <w:rFonts w:ascii="Arial" w:hAnsi="Arial" w:cs="Arial"/>
          <w:sz w:val="23"/>
          <w:szCs w:val="23"/>
        </w:rPr>
      </w:pPr>
      <w:r w:rsidRPr="009A0D41">
        <w:rPr>
          <w:rFonts w:ascii="Arial" w:hAnsi="Arial" w:cs="Arial"/>
          <w:b/>
          <w:sz w:val="23"/>
          <w:szCs w:val="23"/>
        </w:rPr>
        <w:t>Afterschool Care Programs:</w:t>
      </w:r>
      <w:r w:rsidR="00BB084C">
        <w:rPr>
          <w:rFonts w:ascii="Arial" w:hAnsi="Arial" w:cs="Arial"/>
          <w:sz w:val="23"/>
          <w:szCs w:val="23"/>
        </w:rPr>
        <w:t xml:space="preserve">  centers in low-</w:t>
      </w:r>
      <w:r w:rsidRPr="009A0D41">
        <w:rPr>
          <w:rFonts w:ascii="Arial" w:hAnsi="Arial" w:cs="Arial"/>
          <w:sz w:val="23"/>
          <w:szCs w:val="23"/>
        </w:rPr>
        <w:t>income areas provide free snacks to school aged children and youth.</w:t>
      </w:r>
    </w:p>
    <w:p w:rsidR="00CE1EEC" w:rsidRPr="009A0D41" w:rsidRDefault="00CE1EEC">
      <w:pPr>
        <w:rPr>
          <w:rFonts w:ascii="Arial" w:hAnsi="Arial" w:cs="Arial"/>
          <w:sz w:val="23"/>
          <w:szCs w:val="23"/>
        </w:rPr>
      </w:pPr>
      <w:r w:rsidRPr="009A0D41">
        <w:rPr>
          <w:rFonts w:ascii="Arial" w:hAnsi="Arial" w:cs="Arial"/>
          <w:b/>
          <w:sz w:val="23"/>
          <w:szCs w:val="23"/>
        </w:rPr>
        <w:t>Homeless Shelters:</w:t>
      </w:r>
      <w:r w:rsidRPr="009A0D41">
        <w:rPr>
          <w:rFonts w:ascii="Arial" w:hAnsi="Arial" w:cs="Arial"/>
          <w:sz w:val="23"/>
          <w:szCs w:val="23"/>
        </w:rPr>
        <w:t xml:space="preserve">  emergency shelters provide residential and food services to homeless children.</w:t>
      </w:r>
    </w:p>
    <w:p w:rsidR="00CE1EEC" w:rsidRPr="009A0D41" w:rsidRDefault="00CE1EEC">
      <w:pPr>
        <w:rPr>
          <w:rFonts w:ascii="Arial" w:hAnsi="Arial" w:cs="Arial"/>
          <w:sz w:val="23"/>
          <w:szCs w:val="23"/>
        </w:rPr>
      </w:pPr>
      <w:r w:rsidRPr="009A0D41">
        <w:rPr>
          <w:rFonts w:ascii="Arial" w:hAnsi="Arial" w:cs="Arial"/>
          <w:b/>
          <w:sz w:val="23"/>
          <w:szCs w:val="23"/>
        </w:rPr>
        <w:t>Adult Day Care Centers:</w:t>
      </w:r>
      <w:r w:rsidRPr="009A0D41">
        <w:rPr>
          <w:rFonts w:ascii="Arial" w:hAnsi="Arial" w:cs="Arial"/>
          <w:sz w:val="23"/>
          <w:szCs w:val="23"/>
        </w:rPr>
        <w:t xml:space="preserve">  public, </w:t>
      </w:r>
      <w:r w:rsidR="00BB084C">
        <w:rPr>
          <w:rFonts w:ascii="Arial" w:hAnsi="Arial" w:cs="Arial"/>
          <w:sz w:val="23"/>
          <w:szCs w:val="23"/>
        </w:rPr>
        <w:t>private nonprofit, and some for-</w:t>
      </w:r>
      <w:r w:rsidRPr="009A0D41">
        <w:rPr>
          <w:rFonts w:ascii="Arial" w:hAnsi="Arial" w:cs="Arial"/>
          <w:sz w:val="23"/>
          <w:szCs w:val="23"/>
        </w:rPr>
        <w:t>profit adult day care facilities provide structured, comprehensive services to functionally impaired, nonresident adults.</w:t>
      </w:r>
    </w:p>
    <w:p w:rsidR="009A0D41" w:rsidRDefault="009A0D41">
      <w:pPr>
        <w:rPr>
          <w:rFonts w:ascii="Arial" w:hAnsi="Arial" w:cs="Arial"/>
          <w:b/>
        </w:rPr>
      </w:pPr>
    </w:p>
    <w:p w:rsidR="009B461F" w:rsidRPr="00F142A5" w:rsidRDefault="00CE1EEC">
      <w:pPr>
        <w:rPr>
          <w:rFonts w:ascii="Arial" w:hAnsi="Arial" w:cs="Arial"/>
          <w:b/>
        </w:rPr>
      </w:pPr>
      <w:r w:rsidRPr="00F142A5">
        <w:rPr>
          <w:rFonts w:ascii="Arial" w:hAnsi="Arial" w:cs="Arial"/>
          <w:b/>
        </w:rPr>
        <w:t>How does CACFP work?</w:t>
      </w:r>
    </w:p>
    <w:p w:rsidR="00CE1EEC" w:rsidRDefault="00CE1EEC">
      <w:pPr>
        <w:rPr>
          <w:rFonts w:ascii="Arial" w:hAnsi="Arial" w:cs="Arial"/>
        </w:rPr>
      </w:pPr>
      <w:r>
        <w:rPr>
          <w:rFonts w:ascii="Arial" w:hAnsi="Arial" w:cs="Arial"/>
        </w:rPr>
        <w:t>CACFP reimburses participating centers and child care homes for serving nutritious meals.  CACFP is administered at the federal level by the Food and Nutrition Service (FNS), an agency of the U.S. Department of Agriculture (USDA).</w:t>
      </w:r>
    </w:p>
    <w:p w:rsidR="00CE1EEC" w:rsidRDefault="00CE1EEC">
      <w:pPr>
        <w:rPr>
          <w:rFonts w:ascii="Arial" w:hAnsi="Arial" w:cs="Arial"/>
        </w:rPr>
      </w:pPr>
      <w:r>
        <w:rPr>
          <w:rFonts w:ascii="Arial" w:hAnsi="Arial" w:cs="Arial"/>
        </w:rPr>
        <w:t>The Missouri Department of Health and Senior Services (DHSS) – Bureau of Community Food and Nutrition Assistance (CFNA) administers the CACFP.  CFNA approves sponsoring organizations and indepen</w:t>
      </w:r>
      <w:r w:rsidR="00F142A5">
        <w:rPr>
          <w:rFonts w:ascii="Arial" w:hAnsi="Arial" w:cs="Arial"/>
        </w:rPr>
        <w:t>dent centers to operate the program on the local level.  CFNA also monitors the program and provides guidance and assistance to assure that sponsors and centers are meeting requirements.</w:t>
      </w:r>
    </w:p>
    <w:p w:rsidR="00F142A5" w:rsidRDefault="00F142A5">
      <w:pPr>
        <w:rPr>
          <w:rFonts w:ascii="Arial" w:hAnsi="Arial" w:cs="Arial"/>
        </w:rPr>
      </w:pPr>
      <w:r>
        <w:rPr>
          <w:rFonts w:ascii="Arial" w:hAnsi="Arial" w:cs="Arial"/>
        </w:rPr>
        <w:t>Sponsoring organizations play a critical role in supporting home child care providers and centers through training, technical assistance, and monitoring.  All family or group child care homes must participate through a sponsoring organization.  Several types of organizations can be approved to serve as sponsors, e.g., community action groups, nonprofit organizations and churches.</w:t>
      </w:r>
    </w:p>
    <w:p w:rsidR="00EA3E0C" w:rsidRDefault="00EA3E0C">
      <w:pPr>
        <w:rPr>
          <w:rFonts w:ascii="Arial" w:hAnsi="Arial" w:cs="Arial"/>
        </w:rPr>
      </w:pPr>
    </w:p>
    <w:p w:rsidR="00EA3E0C" w:rsidRPr="00EA3E0C" w:rsidRDefault="00EA3E0C">
      <w:pPr>
        <w:rPr>
          <w:rFonts w:ascii="Arial" w:hAnsi="Arial" w:cs="Arial"/>
          <w:sz w:val="16"/>
          <w:szCs w:val="16"/>
        </w:rPr>
      </w:pPr>
      <w:r w:rsidRPr="00EA3E0C">
        <w:rPr>
          <w:rFonts w:ascii="Arial" w:hAnsi="Arial" w:cs="Arial"/>
          <w:sz w:val="16"/>
          <w:szCs w:val="16"/>
        </w:rPr>
        <w:t>Revised October 2017</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To file a program complaint of discrimination, complete the </w:t>
      </w:r>
      <w:r w:rsidRPr="00F142A5">
        <w:rPr>
          <w:rFonts w:ascii="Arial" w:hAnsi="Arial" w:cs="Arial"/>
          <w:color w:val="0000FF"/>
          <w:sz w:val="16"/>
          <w:szCs w:val="16"/>
        </w:rPr>
        <w:t>USDA Program Discrimination Complaint Form</w:t>
      </w:r>
      <w:r w:rsidRPr="00F142A5">
        <w:rPr>
          <w:rFonts w:ascii="Arial" w:hAnsi="Arial" w:cs="Arial"/>
          <w:sz w:val="16"/>
          <w:szCs w:val="16"/>
        </w:rPr>
        <w:t xml:space="preserve">, (AD-3027) found online at: </w:t>
      </w:r>
      <w:r w:rsidRPr="00F142A5">
        <w:rPr>
          <w:rFonts w:ascii="Arial" w:hAnsi="Arial" w:cs="Arial"/>
          <w:color w:val="0000FF"/>
          <w:sz w:val="16"/>
          <w:szCs w:val="16"/>
        </w:rPr>
        <w:t>http://www.ascr.usda.gov/complaint_filing_cust.html</w:t>
      </w:r>
      <w:r w:rsidRPr="00F142A5">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(1) mail: U.S. Department of Agriculture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Office of the Assistant Secretary for Civil Rights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1400 Independence Avenue, SW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Washington, D.C. 20250-9410; </w:t>
      </w:r>
    </w:p>
    <w:p w:rsidR="00F142A5" w:rsidRPr="00F142A5" w:rsidRDefault="00F142A5" w:rsidP="00F142A5">
      <w:pPr>
        <w:pStyle w:val="Default"/>
        <w:rPr>
          <w:rFonts w:ascii="Arial" w:hAnsi="Arial" w:cs="Arial"/>
          <w:sz w:val="16"/>
          <w:szCs w:val="16"/>
        </w:rPr>
      </w:pPr>
      <w:r w:rsidRPr="00F142A5">
        <w:rPr>
          <w:rFonts w:ascii="Arial" w:hAnsi="Arial" w:cs="Arial"/>
          <w:sz w:val="16"/>
          <w:szCs w:val="16"/>
        </w:rPr>
        <w:t xml:space="preserve">(2) fax: (202) 690-7442; or </w:t>
      </w:r>
    </w:p>
    <w:p w:rsidR="00F142A5" w:rsidRPr="00F142A5" w:rsidRDefault="00F142A5" w:rsidP="00F142A5">
      <w:pPr>
        <w:pStyle w:val="Default"/>
        <w:rPr>
          <w:rFonts w:ascii="Arial" w:hAnsi="Arial" w:cs="Arial"/>
          <w:color w:val="0000FF"/>
          <w:sz w:val="16"/>
          <w:szCs w:val="16"/>
        </w:rPr>
      </w:pPr>
      <w:r w:rsidRPr="00F142A5">
        <w:rPr>
          <w:rFonts w:ascii="Arial" w:hAnsi="Arial" w:cs="Arial"/>
          <w:sz w:val="16"/>
          <w:szCs w:val="16"/>
        </w:rPr>
        <w:t xml:space="preserve">(3) email: </w:t>
      </w:r>
      <w:r w:rsidRPr="00F142A5">
        <w:rPr>
          <w:rFonts w:ascii="Arial" w:hAnsi="Arial" w:cs="Arial"/>
          <w:color w:val="0000FF"/>
          <w:sz w:val="16"/>
          <w:szCs w:val="16"/>
        </w:rPr>
        <w:t xml:space="preserve">program.intake@usda.gov. </w:t>
      </w:r>
    </w:p>
    <w:p w:rsidR="00F142A5" w:rsidRPr="00F142A5" w:rsidRDefault="00F142A5">
      <w:pPr>
        <w:rPr>
          <w:rFonts w:ascii="Arial" w:hAnsi="Arial" w:cs="Arial"/>
          <w:sz w:val="16"/>
          <w:szCs w:val="16"/>
        </w:rPr>
      </w:pPr>
      <w:r w:rsidRPr="00F142A5">
        <w:rPr>
          <w:rFonts w:ascii="Arial" w:hAnsi="Arial" w:cs="Arial"/>
          <w:sz w:val="16"/>
          <w:szCs w:val="16"/>
        </w:rPr>
        <w:t>This institution is an equal opportunity provider.</w:t>
      </w:r>
    </w:p>
    <w:p w:rsidR="00F142A5" w:rsidRPr="00B53053" w:rsidRDefault="00F142A5" w:rsidP="00F142A5">
      <w:pPr>
        <w:rPr>
          <w:rFonts w:ascii="Arial" w:hAnsi="Arial" w:cs="Arial"/>
          <w:b/>
          <w:sz w:val="20"/>
          <w:szCs w:val="20"/>
        </w:rPr>
      </w:pPr>
      <w:r w:rsidRPr="00B53053">
        <w:rPr>
          <w:rFonts w:ascii="Arial" w:hAnsi="Arial" w:cs="Arial"/>
          <w:b/>
          <w:sz w:val="20"/>
          <w:szCs w:val="20"/>
        </w:rPr>
        <w:t>For more information about CACFP:</w:t>
      </w:r>
    </w:p>
    <w:p w:rsidR="00F142A5" w:rsidRDefault="00F142A5" w:rsidP="00F142A5">
      <w:pPr>
        <w:spacing w:after="0"/>
        <w:rPr>
          <w:rFonts w:ascii="Arial" w:hAnsi="Arial" w:cs="Arial"/>
          <w:sz w:val="20"/>
          <w:szCs w:val="20"/>
        </w:rPr>
      </w:pPr>
      <w:r w:rsidRPr="00B53053">
        <w:rPr>
          <w:rFonts w:ascii="Arial" w:hAnsi="Arial" w:cs="Arial"/>
          <w:sz w:val="20"/>
          <w:szCs w:val="20"/>
        </w:rPr>
        <w:t xml:space="preserve">Visit our web site at:  </w:t>
      </w:r>
    </w:p>
    <w:p w:rsidR="00F142A5" w:rsidRDefault="00062F6A" w:rsidP="00F142A5">
      <w:pPr>
        <w:spacing w:after="0"/>
        <w:rPr>
          <w:rFonts w:ascii="Arial" w:hAnsi="Arial" w:cs="Arial"/>
          <w:sz w:val="20"/>
          <w:szCs w:val="20"/>
        </w:rPr>
      </w:pPr>
      <w:hyperlink r:id="rId8" w:history="1">
        <w:r w:rsidR="00F142A5" w:rsidRPr="00D0175C">
          <w:rPr>
            <w:rStyle w:val="Hyperlink"/>
            <w:rFonts w:ascii="Arial" w:hAnsi="Arial" w:cs="Arial"/>
            <w:sz w:val="20"/>
            <w:szCs w:val="20"/>
          </w:rPr>
          <w:t>http://health.mo.gov/cacfp</w:t>
        </w:r>
      </w:hyperlink>
      <w:r w:rsidR="00F142A5" w:rsidRPr="00B53053">
        <w:rPr>
          <w:rFonts w:ascii="Arial" w:hAnsi="Arial" w:cs="Arial"/>
          <w:sz w:val="20"/>
          <w:szCs w:val="20"/>
        </w:rPr>
        <w:t xml:space="preserve"> </w:t>
      </w:r>
    </w:p>
    <w:p w:rsidR="0075514D" w:rsidRPr="0075514D" w:rsidRDefault="0075514D" w:rsidP="00F142A5">
      <w:pPr>
        <w:spacing w:after="0"/>
        <w:rPr>
          <w:rFonts w:ascii="Arial" w:hAnsi="Arial" w:cs="Arial"/>
          <w:sz w:val="16"/>
          <w:szCs w:val="16"/>
        </w:rPr>
      </w:pPr>
    </w:p>
    <w:p w:rsidR="00F142A5" w:rsidRDefault="00F142A5" w:rsidP="00F142A5">
      <w:pPr>
        <w:spacing w:after="0"/>
        <w:rPr>
          <w:rStyle w:val="Hyperlink"/>
          <w:rFonts w:ascii="Arial" w:hAnsi="Arial" w:cs="Arial"/>
          <w:sz w:val="20"/>
          <w:szCs w:val="20"/>
        </w:rPr>
      </w:pPr>
      <w:r w:rsidRPr="00B53053">
        <w:rPr>
          <w:rFonts w:ascii="Arial" w:hAnsi="Arial" w:cs="Arial"/>
          <w:sz w:val="20"/>
          <w:szCs w:val="20"/>
        </w:rPr>
        <w:t xml:space="preserve">E-mail questions to:  </w:t>
      </w:r>
      <w:hyperlink r:id="rId9" w:history="1">
        <w:r w:rsidRPr="00B53053">
          <w:rPr>
            <w:rStyle w:val="Hyperlink"/>
            <w:rFonts w:ascii="Arial" w:hAnsi="Arial" w:cs="Arial"/>
            <w:sz w:val="20"/>
            <w:szCs w:val="20"/>
          </w:rPr>
          <w:t>cacfp@health.mo.gov</w:t>
        </w:r>
      </w:hyperlink>
    </w:p>
    <w:p w:rsidR="00F142A5" w:rsidRPr="0075514D" w:rsidRDefault="00F142A5" w:rsidP="00F142A5">
      <w:pPr>
        <w:spacing w:after="0"/>
        <w:rPr>
          <w:rFonts w:ascii="Arial" w:hAnsi="Arial" w:cs="Arial"/>
          <w:sz w:val="16"/>
          <w:szCs w:val="16"/>
        </w:rPr>
      </w:pPr>
    </w:p>
    <w:p w:rsidR="00F142A5" w:rsidRDefault="00F142A5" w:rsidP="00F142A5">
      <w:pPr>
        <w:spacing w:after="0"/>
        <w:rPr>
          <w:rFonts w:ascii="Arial" w:hAnsi="Arial" w:cs="Arial"/>
          <w:sz w:val="20"/>
          <w:szCs w:val="20"/>
        </w:rPr>
      </w:pPr>
      <w:r>
        <w:rPr>
          <w:rFonts w:ascii="Arial" w:hAnsi="Arial" w:cs="Arial"/>
          <w:sz w:val="20"/>
          <w:szCs w:val="20"/>
        </w:rPr>
        <w:t>Phone</w:t>
      </w:r>
      <w:r w:rsidRPr="00B53053">
        <w:rPr>
          <w:rFonts w:ascii="Arial" w:hAnsi="Arial" w:cs="Arial"/>
          <w:sz w:val="20"/>
          <w:szCs w:val="20"/>
        </w:rPr>
        <w:t>:  800-733-6251</w:t>
      </w:r>
      <w:r>
        <w:rPr>
          <w:rFonts w:ascii="Arial" w:hAnsi="Arial" w:cs="Arial"/>
          <w:sz w:val="20"/>
          <w:szCs w:val="20"/>
        </w:rPr>
        <w:t xml:space="preserve"> or 573-751-6269</w:t>
      </w:r>
    </w:p>
    <w:p w:rsidR="00F142A5" w:rsidRDefault="00F142A5">
      <w:pPr>
        <w:rPr>
          <w:rFonts w:ascii="Arial" w:hAnsi="Arial" w:cs="Arial"/>
        </w:rPr>
      </w:pPr>
    </w:p>
    <w:p w:rsidR="009A0D41" w:rsidRDefault="0075514D" w:rsidP="00F142A5">
      <w:pPr>
        <w:spacing w:after="0" w:line="80" w:lineRule="atLeast"/>
        <w:ind w:left="446"/>
        <w:jc w:val="center"/>
        <w:rPr>
          <w:rFonts w:ascii="Arial" w:hAnsi="Arial" w:cs="Arial"/>
          <w:b/>
          <w:i/>
          <w:sz w:val="32"/>
          <w:szCs w:val="32"/>
        </w:rPr>
      </w:pPr>
      <w:r>
        <w:rPr>
          <w:rFonts w:ascii="Arial" w:hAnsi="Arial" w:cs="Arial"/>
          <w:b/>
          <w:i/>
          <w:noProof/>
          <w:sz w:val="32"/>
          <w:szCs w:val="32"/>
        </w:rPr>
        <w:drawing>
          <wp:anchor distT="0" distB="0" distL="114300" distR="114300" simplePos="0" relativeHeight="251659264" behindDoc="0" locked="0" layoutInCell="1" allowOverlap="1" wp14:anchorId="53E9BBA5" wp14:editId="48D08195">
            <wp:simplePos x="0" y="0"/>
            <wp:positionH relativeFrom="margin">
              <wp:posOffset>4124325</wp:posOffset>
            </wp:positionH>
            <wp:positionV relativeFrom="margin">
              <wp:posOffset>5368290</wp:posOffset>
            </wp:positionV>
            <wp:extent cx="876300" cy="850900"/>
            <wp:effectExtent l="0" t="0" r="0" b="6350"/>
            <wp:wrapSquare wrapText="bothSides"/>
            <wp:docPr id="2" name="Picture 2" descr="I:\Office Services\DHSS Logo\DHSS Logo 3-15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ffice Services\DHSS Logo\DHSS Logo 3-15 bw.jpg"/>
                    <pic:cNvPicPr>
                      <a:picLocks noChangeAspect="1" noChangeArrowheads="1"/>
                    </pic:cNvPicPr>
                  </pic:nvPicPr>
                  <pic:blipFill>
                    <a:blip r:embed="rId10">
                      <a:extLst>
                        <a:ext uri="{28A0092B-C50C-407E-A947-70E740481C1C}">
                          <a14:useLocalDpi xmlns:a14="http://schemas.microsoft.com/office/drawing/2010/main" val="0"/>
                        </a:ext>
                      </a:extLst>
                    </a:blip>
                    <a:srcRect l="-983" r="-1962"/>
                    <a:stretch>
                      <a:fillRect/>
                    </a:stretch>
                  </pic:blipFill>
                  <pic:spPr bwMode="auto">
                    <a:xfrm>
                      <a:off x="0" y="0"/>
                      <a:ext cx="8763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42A5" w:rsidRPr="00F142A5" w:rsidRDefault="00F142A5" w:rsidP="00F142A5">
      <w:pPr>
        <w:spacing w:after="0" w:line="80" w:lineRule="atLeast"/>
        <w:ind w:left="446"/>
        <w:jc w:val="center"/>
        <w:rPr>
          <w:rFonts w:ascii="Arial" w:hAnsi="Arial" w:cs="Arial"/>
          <w:b/>
          <w:i/>
          <w:sz w:val="32"/>
          <w:szCs w:val="32"/>
        </w:rPr>
      </w:pPr>
      <w:r w:rsidRPr="00F142A5">
        <w:rPr>
          <w:rFonts w:ascii="Arial" w:hAnsi="Arial" w:cs="Arial"/>
          <w:b/>
          <w:i/>
          <w:sz w:val="32"/>
          <w:szCs w:val="32"/>
        </w:rPr>
        <w:t>The Missouri</w:t>
      </w:r>
    </w:p>
    <w:p w:rsidR="00F142A5" w:rsidRPr="00F142A5" w:rsidRDefault="00F142A5" w:rsidP="00F142A5">
      <w:pPr>
        <w:spacing w:after="0" w:line="80" w:lineRule="atLeast"/>
        <w:ind w:left="446"/>
        <w:jc w:val="center"/>
        <w:rPr>
          <w:rFonts w:ascii="Arial" w:hAnsi="Arial" w:cs="Arial"/>
          <w:b/>
          <w:i/>
          <w:sz w:val="32"/>
          <w:szCs w:val="32"/>
        </w:rPr>
      </w:pPr>
      <w:r w:rsidRPr="00F142A5">
        <w:rPr>
          <w:rFonts w:ascii="Arial" w:hAnsi="Arial" w:cs="Arial"/>
          <w:b/>
          <w:i/>
          <w:sz w:val="32"/>
          <w:szCs w:val="32"/>
        </w:rPr>
        <w:t xml:space="preserve">Child and </w:t>
      </w:r>
    </w:p>
    <w:p w:rsidR="00F142A5" w:rsidRPr="00F142A5" w:rsidRDefault="00F142A5" w:rsidP="00F142A5">
      <w:pPr>
        <w:spacing w:after="0" w:line="80" w:lineRule="atLeast"/>
        <w:ind w:left="446"/>
        <w:jc w:val="center"/>
        <w:rPr>
          <w:rFonts w:ascii="Arial" w:hAnsi="Arial" w:cs="Arial"/>
          <w:b/>
          <w:i/>
          <w:sz w:val="32"/>
          <w:szCs w:val="32"/>
        </w:rPr>
      </w:pPr>
      <w:r w:rsidRPr="00F142A5">
        <w:rPr>
          <w:rFonts w:ascii="Arial" w:hAnsi="Arial" w:cs="Arial"/>
          <w:b/>
          <w:i/>
          <w:sz w:val="32"/>
          <w:szCs w:val="32"/>
        </w:rPr>
        <w:t xml:space="preserve">Adult Care </w:t>
      </w:r>
    </w:p>
    <w:p w:rsidR="00F142A5" w:rsidRPr="00F142A5" w:rsidRDefault="00F142A5" w:rsidP="00F142A5">
      <w:pPr>
        <w:spacing w:after="0" w:line="80" w:lineRule="atLeast"/>
        <w:ind w:left="446"/>
        <w:jc w:val="center"/>
        <w:rPr>
          <w:rFonts w:ascii="Arial" w:hAnsi="Arial" w:cs="Arial"/>
          <w:sz w:val="32"/>
          <w:szCs w:val="32"/>
        </w:rPr>
      </w:pPr>
      <w:r w:rsidRPr="00F142A5">
        <w:rPr>
          <w:rFonts w:ascii="Arial" w:hAnsi="Arial" w:cs="Arial"/>
          <w:b/>
          <w:i/>
          <w:sz w:val="32"/>
          <w:szCs w:val="32"/>
        </w:rPr>
        <w:t>Food Program</w:t>
      </w:r>
      <w:r w:rsidRPr="00F142A5">
        <w:rPr>
          <w:rFonts w:ascii="Arial" w:hAnsi="Arial" w:cs="Arial"/>
          <w:sz w:val="32"/>
          <w:szCs w:val="32"/>
        </w:rPr>
        <w:t xml:space="preserve"> </w:t>
      </w:r>
    </w:p>
    <w:p w:rsidR="00F142A5" w:rsidRPr="00F142A5" w:rsidRDefault="00F142A5" w:rsidP="00F142A5">
      <w:pPr>
        <w:spacing w:after="0" w:line="80" w:lineRule="atLeast"/>
        <w:ind w:left="446"/>
        <w:jc w:val="center"/>
        <w:rPr>
          <w:rFonts w:ascii="Arial" w:hAnsi="Arial" w:cs="Arial"/>
          <w:sz w:val="32"/>
          <w:szCs w:val="32"/>
        </w:rPr>
      </w:pPr>
      <w:r w:rsidRPr="00F142A5">
        <w:rPr>
          <w:rFonts w:ascii="Arial" w:hAnsi="Arial" w:cs="Arial"/>
          <w:b/>
          <w:i/>
          <w:sz w:val="32"/>
          <w:szCs w:val="32"/>
        </w:rPr>
        <w:t>(CACFP)</w:t>
      </w:r>
    </w:p>
    <w:p w:rsidR="00F142A5" w:rsidRPr="00F142A5" w:rsidRDefault="00F142A5" w:rsidP="00F142A5">
      <w:pPr>
        <w:rPr>
          <w:rFonts w:ascii="Arial" w:hAnsi="Arial" w:cs="Arial"/>
        </w:rPr>
      </w:pPr>
    </w:p>
    <w:p w:rsidR="00F142A5" w:rsidRPr="00F142A5" w:rsidRDefault="00F142A5" w:rsidP="00F142A5">
      <w:pPr>
        <w:spacing w:after="0" w:line="80" w:lineRule="atLeast"/>
        <w:ind w:left="446"/>
        <w:jc w:val="center"/>
        <w:rPr>
          <w:rFonts w:ascii="Arial" w:hAnsi="Arial" w:cs="Arial"/>
          <w:sz w:val="48"/>
        </w:rPr>
      </w:pPr>
      <w:r w:rsidRPr="00F142A5">
        <w:rPr>
          <w:rFonts w:ascii="Arial" w:hAnsi="Arial" w:cs="Arial"/>
          <w:noProof/>
          <w:sz w:val="48"/>
        </w:rPr>
        <w:drawing>
          <wp:inline distT="0" distB="0" distL="0" distR="0" wp14:anchorId="211D0ACA" wp14:editId="7233A293">
            <wp:extent cx="23717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066925"/>
                    </a:xfrm>
                    <a:prstGeom prst="rect">
                      <a:avLst/>
                    </a:prstGeom>
                    <a:noFill/>
                    <a:ln>
                      <a:noFill/>
                    </a:ln>
                  </pic:spPr>
                </pic:pic>
              </a:graphicData>
            </a:graphic>
          </wp:inline>
        </w:drawing>
      </w:r>
    </w:p>
    <w:p w:rsidR="00F142A5" w:rsidRPr="00F142A5" w:rsidRDefault="00F142A5" w:rsidP="00F142A5">
      <w:pPr>
        <w:spacing w:after="0" w:line="80" w:lineRule="atLeast"/>
        <w:ind w:left="446"/>
        <w:jc w:val="center"/>
        <w:rPr>
          <w:rFonts w:ascii="Arial" w:hAnsi="Arial" w:cs="Arial"/>
          <w:sz w:val="48"/>
        </w:rPr>
      </w:pPr>
    </w:p>
    <w:p w:rsidR="00F142A5" w:rsidRDefault="00F142A5" w:rsidP="00F142A5">
      <w:pPr>
        <w:spacing w:after="0" w:line="80" w:lineRule="atLeast"/>
        <w:ind w:left="446"/>
        <w:jc w:val="center"/>
        <w:rPr>
          <w:rFonts w:ascii="Arial" w:hAnsi="Arial" w:cs="Arial"/>
          <w:sz w:val="28"/>
          <w:szCs w:val="28"/>
        </w:rPr>
      </w:pPr>
      <w:r w:rsidRPr="00F142A5">
        <w:rPr>
          <w:rFonts w:ascii="Arial" w:hAnsi="Arial" w:cs="Arial"/>
          <w:sz w:val="28"/>
          <w:szCs w:val="28"/>
        </w:rPr>
        <w:t>Building for the Future</w:t>
      </w:r>
    </w:p>
    <w:p w:rsidR="00F142A5" w:rsidRDefault="00F142A5" w:rsidP="00F142A5">
      <w:pPr>
        <w:spacing w:after="0" w:line="80" w:lineRule="atLeast"/>
        <w:ind w:left="446"/>
        <w:jc w:val="center"/>
        <w:rPr>
          <w:rFonts w:ascii="Arial" w:hAnsi="Arial" w:cs="Arial"/>
          <w:sz w:val="28"/>
          <w:szCs w:val="28"/>
        </w:rPr>
      </w:pPr>
    </w:p>
    <w:p w:rsidR="00F142A5" w:rsidRPr="00F142A5" w:rsidRDefault="00F142A5" w:rsidP="00F142A5">
      <w:pPr>
        <w:spacing w:after="0" w:line="80" w:lineRule="atLeast"/>
        <w:ind w:left="446"/>
        <w:jc w:val="center"/>
        <w:rPr>
          <w:rFonts w:ascii="Arial" w:hAnsi="Arial" w:cs="Arial"/>
          <w:sz w:val="28"/>
          <w:szCs w:val="28"/>
        </w:rPr>
      </w:pPr>
    </w:p>
    <w:p w:rsidR="00F142A5" w:rsidRPr="00B53053" w:rsidRDefault="00F142A5" w:rsidP="00F142A5">
      <w:pPr>
        <w:spacing w:after="0"/>
        <w:jc w:val="center"/>
        <w:rPr>
          <w:rFonts w:ascii="Arial" w:hAnsi="Arial" w:cs="Arial"/>
          <w:b/>
        </w:rPr>
      </w:pPr>
      <w:r w:rsidRPr="00B53053">
        <w:rPr>
          <w:rFonts w:ascii="Arial" w:hAnsi="Arial" w:cs="Arial"/>
          <w:b/>
        </w:rPr>
        <w:t>Missouri Department of Health &amp; Senior Services</w:t>
      </w:r>
    </w:p>
    <w:p w:rsidR="00F142A5" w:rsidRPr="00B53053" w:rsidRDefault="00F142A5" w:rsidP="00F142A5">
      <w:pPr>
        <w:spacing w:after="0"/>
        <w:jc w:val="center"/>
        <w:rPr>
          <w:rFonts w:ascii="Arial" w:hAnsi="Arial" w:cs="Arial"/>
          <w:b/>
        </w:rPr>
      </w:pPr>
      <w:r w:rsidRPr="00B53053">
        <w:rPr>
          <w:rFonts w:ascii="Arial" w:hAnsi="Arial" w:cs="Arial"/>
          <w:b/>
        </w:rPr>
        <w:t>Bureau of Community Food and Nutrition Assistance</w:t>
      </w:r>
    </w:p>
    <w:p w:rsidR="00F142A5" w:rsidRPr="00B53053" w:rsidRDefault="00F142A5" w:rsidP="00F142A5">
      <w:pPr>
        <w:spacing w:after="0"/>
        <w:jc w:val="center"/>
        <w:rPr>
          <w:rFonts w:ascii="Arial" w:hAnsi="Arial" w:cs="Arial"/>
          <w:b/>
        </w:rPr>
      </w:pPr>
      <w:r w:rsidRPr="00B53053">
        <w:rPr>
          <w:rFonts w:ascii="Arial" w:hAnsi="Arial" w:cs="Arial"/>
          <w:b/>
        </w:rPr>
        <w:t>PO Box 570</w:t>
      </w:r>
    </w:p>
    <w:p w:rsidR="00F142A5" w:rsidRPr="009A0D41" w:rsidRDefault="00F142A5" w:rsidP="009A0D41">
      <w:pPr>
        <w:spacing w:after="0"/>
        <w:jc w:val="center"/>
        <w:rPr>
          <w:rFonts w:ascii="Arial" w:hAnsi="Arial" w:cs="Arial"/>
          <w:b/>
        </w:rPr>
      </w:pPr>
      <w:r w:rsidRPr="00B53053">
        <w:rPr>
          <w:rFonts w:ascii="Arial" w:hAnsi="Arial" w:cs="Arial"/>
          <w:b/>
        </w:rPr>
        <w:t>Jefferson City, Mo 65102</w:t>
      </w:r>
    </w:p>
    <w:sectPr w:rsidR="00F142A5" w:rsidRPr="009A0D41" w:rsidSect="00F40B12">
      <w:pgSz w:w="15840" w:h="12240" w:orient="landscape"/>
      <w:pgMar w:top="1440" w:right="720" w:bottom="1296"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268"/>
    <w:multiLevelType w:val="hybridMultilevel"/>
    <w:tmpl w:val="3A16E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F477E"/>
    <w:multiLevelType w:val="hybridMultilevel"/>
    <w:tmpl w:val="05500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2"/>
    <w:rsid w:val="00062F6A"/>
    <w:rsid w:val="00103D85"/>
    <w:rsid w:val="0036419A"/>
    <w:rsid w:val="003A4FBE"/>
    <w:rsid w:val="006B16E3"/>
    <w:rsid w:val="0075514D"/>
    <w:rsid w:val="00881D7A"/>
    <w:rsid w:val="009A0D41"/>
    <w:rsid w:val="009B461F"/>
    <w:rsid w:val="00BB084C"/>
    <w:rsid w:val="00CE1EEC"/>
    <w:rsid w:val="00E459A2"/>
    <w:rsid w:val="00E85ED3"/>
    <w:rsid w:val="00EA3E0C"/>
    <w:rsid w:val="00F142A5"/>
    <w:rsid w:val="00F4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1F"/>
    <w:pPr>
      <w:ind w:left="720"/>
      <w:contextualSpacing/>
    </w:pPr>
  </w:style>
  <w:style w:type="paragraph" w:customStyle="1" w:styleId="Default">
    <w:name w:val="Default"/>
    <w:rsid w:val="00F142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A5"/>
    <w:rPr>
      <w:rFonts w:ascii="Tahoma" w:hAnsi="Tahoma" w:cs="Tahoma"/>
      <w:sz w:val="16"/>
      <w:szCs w:val="16"/>
    </w:rPr>
  </w:style>
  <w:style w:type="character" w:styleId="Hyperlink">
    <w:name w:val="Hyperlink"/>
    <w:basedOn w:val="DefaultParagraphFont"/>
    <w:uiPriority w:val="99"/>
    <w:unhideWhenUsed/>
    <w:rsid w:val="00F14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1F"/>
    <w:pPr>
      <w:ind w:left="720"/>
      <w:contextualSpacing/>
    </w:pPr>
  </w:style>
  <w:style w:type="paragraph" w:customStyle="1" w:styleId="Default">
    <w:name w:val="Default"/>
    <w:rsid w:val="00F142A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A5"/>
    <w:rPr>
      <w:rFonts w:ascii="Tahoma" w:hAnsi="Tahoma" w:cs="Tahoma"/>
      <w:sz w:val="16"/>
      <w:szCs w:val="16"/>
    </w:rPr>
  </w:style>
  <w:style w:type="character" w:styleId="Hyperlink">
    <w:name w:val="Hyperlink"/>
    <w:basedOn w:val="DefaultParagraphFont"/>
    <w:uiPriority w:val="99"/>
    <w:unhideWhenUsed/>
    <w:rsid w:val="00F14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mo.gov/cacf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acfp@healt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Diana</dc:creator>
  <cp:lastModifiedBy>Adrian, Diana</cp:lastModifiedBy>
  <cp:revision>8</cp:revision>
  <cp:lastPrinted>2017-09-27T17:54:00Z</cp:lastPrinted>
  <dcterms:created xsi:type="dcterms:W3CDTF">2017-09-27T14:48:00Z</dcterms:created>
  <dcterms:modified xsi:type="dcterms:W3CDTF">2017-10-11T13:01:00Z</dcterms:modified>
</cp:coreProperties>
</file>