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07D" w:rsidRPr="0030607D" w:rsidRDefault="0030607D" w:rsidP="0030607D">
      <w:pPr>
        <w:spacing w:after="0" w:line="240" w:lineRule="auto"/>
        <w:rPr>
          <w:b/>
          <w:sz w:val="28"/>
          <w:szCs w:val="28"/>
        </w:rPr>
      </w:pPr>
      <w:r w:rsidRPr="0030607D">
        <w:rPr>
          <w:b/>
          <w:sz w:val="28"/>
          <w:szCs w:val="28"/>
        </w:rPr>
        <w:t>Purpose</w:t>
      </w:r>
    </w:p>
    <w:p w:rsidR="00D46688" w:rsidRPr="0030607D" w:rsidRDefault="008E0582" w:rsidP="0030607D">
      <w:pPr>
        <w:spacing w:after="0" w:line="240" w:lineRule="auto"/>
        <w:rPr>
          <w:sz w:val="24"/>
        </w:rPr>
      </w:pPr>
      <w:r w:rsidRPr="008E0582">
        <w:rPr>
          <w:sz w:val="24"/>
        </w:rPr>
        <w:t>To reduce morbidity and mortality from Orthopoxvirus (Monkeypox) by vaccinating with the JYNNEOS vaccine persons at high risk of exposure to the virus, or as a post-exposure prophylaxis of persons who meet the criteria</w:t>
      </w:r>
      <w:r w:rsidR="0030607D" w:rsidRPr="0030607D">
        <w:rPr>
          <w:sz w:val="24"/>
        </w:rPr>
        <w:t xml:space="preserve"> established by the Centers for Disease Control and Prevention’s Advisory Committee on Immunization Practices (ACIP).</w:t>
      </w:r>
    </w:p>
    <w:p w:rsidR="0030607D" w:rsidRDefault="0030607D"/>
    <w:p w:rsidR="0030607D" w:rsidRDefault="0030607D" w:rsidP="0030607D">
      <w:pPr>
        <w:spacing w:after="0" w:line="240" w:lineRule="auto"/>
        <w:rPr>
          <w:b/>
          <w:sz w:val="28"/>
        </w:rPr>
      </w:pPr>
      <w:r>
        <w:rPr>
          <w:b/>
          <w:sz w:val="28"/>
        </w:rPr>
        <w:t>Policy</w:t>
      </w:r>
    </w:p>
    <w:p w:rsidR="0030607D" w:rsidRDefault="0030607D">
      <w:pPr>
        <w:rPr>
          <w:sz w:val="24"/>
        </w:rPr>
      </w:pPr>
      <w:r>
        <w:rPr>
          <w:sz w:val="24"/>
        </w:rPr>
        <w:t xml:space="preserve">This standing order establishes administration parameters for any individual authorized to administer a JYNNEOS vaccine for vaccination of persons at risk of infection with Orthopoxvirus </w:t>
      </w:r>
      <w:r w:rsidR="008E0582">
        <w:rPr>
          <w:sz w:val="24"/>
        </w:rPr>
        <w:t xml:space="preserve">based on ACIP recommendations and eligibility criteria for </w:t>
      </w:r>
      <w:hyperlink r:id="rId7" w:anchor="vaccine-information" w:history="1">
        <w:r w:rsidR="008E0582" w:rsidRPr="008E0582">
          <w:rPr>
            <w:rStyle w:val="Hyperlink"/>
            <w:sz w:val="24"/>
          </w:rPr>
          <w:t>Monkeypox vaccine</w:t>
        </w:r>
      </w:hyperlink>
      <w:r w:rsidR="008E0582">
        <w:rPr>
          <w:sz w:val="24"/>
        </w:rPr>
        <w:t xml:space="preserve">.  </w:t>
      </w:r>
      <w:r>
        <w:rPr>
          <w:sz w:val="24"/>
        </w:rPr>
        <w:t>Under this standing order, eligible nurses and other healthcare professionals working within their scope of practice may vaccinate patients who meet the criteria below.</w:t>
      </w:r>
    </w:p>
    <w:p w:rsidR="0030607D" w:rsidRDefault="0099581F" w:rsidP="0099581F">
      <w:pPr>
        <w:spacing w:after="0" w:line="240" w:lineRule="auto"/>
        <w:rPr>
          <w:b/>
          <w:sz w:val="28"/>
        </w:rPr>
      </w:pPr>
      <w:r>
        <w:rPr>
          <w:b/>
          <w:sz w:val="28"/>
        </w:rPr>
        <w:t>Procedure</w:t>
      </w:r>
    </w:p>
    <w:p w:rsidR="0099581F" w:rsidRDefault="00B44A64" w:rsidP="001B1C5B">
      <w:pPr>
        <w:pStyle w:val="ListParagraph"/>
        <w:numPr>
          <w:ilvl w:val="0"/>
          <w:numId w:val="2"/>
        </w:numPr>
        <w:rPr>
          <w:sz w:val="24"/>
        </w:rPr>
      </w:pPr>
      <w:r w:rsidRPr="001B1C5B">
        <w:rPr>
          <w:sz w:val="24"/>
        </w:rPr>
        <w:t xml:space="preserve">Assess adults in need of vaccination against </w:t>
      </w:r>
      <w:proofErr w:type="spellStart"/>
      <w:r w:rsidRPr="001B1C5B">
        <w:rPr>
          <w:sz w:val="24"/>
        </w:rPr>
        <w:t>orthopoxvirus</w:t>
      </w:r>
      <w:proofErr w:type="spellEnd"/>
      <w:r w:rsidRPr="001B1C5B">
        <w:rPr>
          <w:sz w:val="24"/>
        </w:rPr>
        <w:t xml:space="preserve"> (</w:t>
      </w:r>
      <w:proofErr w:type="spellStart"/>
      <w:r w:rsidRPr="001B1C5B">
        <w:rPr>
          <w:sz w:val="24"/>
        </w:rPr>
        <w:t>Monkeypox</w:t>
      </w:r>
      <w:proofErr w:type="spellEnd"/>
      <w:r w:rsidRPr="001B1C5B">
        <w:rPr>
          <w:sz w:val="24"/>
        </w:rPr>
        <w:t>)</w:t>
      </w:r>
      <w:r w:rsidR="009B6A27">
        <w:rPr>
          <w:sz w:val="24"/>
        </w:rPr>
        <w:t>.</w:t>
      </w:r>
    </w:p>
    <w:p w:rsidR="00FB0CA0" w:rsidRDefault="00FB0CA0" w:rsidP="00FB0CA0">
      <w:pPr>
        <w:pStyle w:val="ListParagraph"/>
        <w:numPr>
          <w:ilvl w:val="1"/>
          <w:numId w:val="2"/>
        </w:numPr>
        <w:rPr>
          <w:sz w:val="24"/>
        </w:rPr>
      </w:pPr>
      <w:r>
        <w:rPr>
          <w:sz w:val="24"/>
        </w:rPr>
        <w:t>Mu</w:t>
      </w:r>
      <w:r w:rsidR="009B6A27">
        <w:rPr>
          <w:sz w:val="24"/>
        </w:rPr>
        <w:t>st be 18 years of age and older.</w:t>
      </w:r>
    </w:p>
    <w:p w:rsidR="0035381F" w:rsidRPr="00216F6F" w:rsidRDefault="0035381F" w:rsidP="00FB0CA0">
      <w:pPr>
        <w:pStyle w:val="ListParagraph"/>
        <w:numPr>
          <w:ilvl w:val="1"/>
          <w:numId w:val="2"/>
        </w:numPr>
        <w:rPr>
          <w:sz w:val="24"/>
          <w:szCs w:val="24"/>
        </w:rPr>
      </w:pPr>
      <w:r>
        <w:rPr>
          <w:sz w:val="24"/>
        </w:rPr>
        <w:t xml:space="preserve">Post Exposure Prophylaxis (PEP) administer within 4 days from the date of </w:t>
      </w:r>
      <w:r w:rsidRPr="00216F6F">
        <w:rPr>
          <w:sz w:val="24"/>
          <w:szCs w:val="24"/>
        </w:rPr>
        <w:t xml:space="preserve">exposure to prevent symptom onset. If administered between 4-14 days after the date of exposure symptoms </w:t>
      </w:r>
      <w:proofErr w:type="gramStart"/>
      <w:r w:rsidRPr="00216F6F">
        <w:rPr>
          <w:sz w:val="24"/>
          <w:szCs w:val="24"/>
        </w:rPr>
        <w:t>may be reduced</w:t>
      </w:r>
      <w:proofErr w:type="gramEnd"/>
      <w:r w:rsidRPr="00216F6F">
        <w:rPr>
          <w:sz w:val="24"/>
          <w:szCs w:val="24"/>
        </w:rPr>
        <w:t xml:space="preserve"> but disease may not be prevented</w:t>
      </w:r>
      <w:r w:rsidR="009B6A27">
        <w:rPr>
          <w:sz w:val="24"/>
          <w:szCs w:val="24"/>
        </w:rPr>
        <w:t>.</w:t>
      </w:r>
      <w:r w:rsidRPr="00216F6F">
        <w:rPr>
          <w:sz w:val="24"/>
          <w:szCs w:val="24"/>
        </w:rPr>
        <w:t xml:space="preserve"> </w:t>
      </w:r>
    </w:p>
    <w:p w:rsidR="00B915A0" w:rsidRPr="00216F6F" w:rsidRDefault="0035381F" w:rsidP="009B6A27">
      <w:pPr>
        <w:pStyle w:val="ListParagraph"/>
        <w:numPr>
          <w:ilvl w:val="1"/>
          <w:numId w:val="2"/>
        </w:numPr>
        <w:rPr>
          <w:sz w:val="24"/>
          <w:szCs w:val="24"/>
        </w:rPr>
      </w:pPr>
      <w:r w:rsidRPr="00216F6F">
        <w:rPr>
          <w:sz w:val="24"/>
          <w:szCs w:val="24"/>
        </w:rPr>
        <w:t>Pre-Exposure Prophylaxis (</w:t>
      </w:r>
      <w:proofErr w:type="spellStart"/>
      <w:r w:rsidRPr="00216F6F">
        <w:rPr>
          <w:sz w:val="24"/>
          <w:szCs w:val="24"/>
        </w:rPr>
        <w:t>PrEP</w:t>
      </w:r>
      <w:proofErr w:type="spellEnd"/>
      <w:r w:rsidRPr="00216F6F">
        <w:rPr>
          <w:sz w:val="24"/>
          <w:szCs w:val="24"/>
        </w:rPr>
        <w:t>) for persons at occupational risk fo</w:t>
      </w:r>
      <w:r w:rsidR="008545FF" w:rsidRPr="00216F6F">
        <w:rPr>
          <w:sz w:val="24"/>
          <w:szCs w:val="24"/>
        </w:rPr>
        <w:t xml:space="preserve">r exposure to </w:t>
      </w:r>
      <w:proofErr w:type="spellStart"/>
      <w:r w:rsidR="008545FF" w:rsidRPr="00216F6F">
        <w:rPr>
          <w:sz w:val="24"/>
          <w:szCs w:val="24"/>
        </w:rPr>
        <w:t>orthopox</w:t>
      </w:r>
      <w:proofErr w:type="spellEnd"/>
      <w:r w:rsidR="008545FF" w:rsidRPr="00216F6F">
        <w:rPr>
          <w:sz w:val="24"/>
          <w:szCs w:val="24"/>
        </w:rPr>
        <w:t xml:space="preserve"> viruses</w:t>
      </w:r>
      <w:r w:rsidR="00B41A6F" w:rsidRPr="00216F6F">
        <w:rPr>
          <w:color w:val="0000FF"/>
          <w:sz w:val="24"/>
          <w:szCs w:val="24"/>
          <w:u w:val="single"/>
        </w:rPr>
        <w:t xml:space="preserve"> </w:t>
      </w:r>
      <w:hyperlink r:id="rId8" w:history="1">
        <w:r w:rsidR="008545FF" w:rsidRPr="00216F6F">
          <w:rPr>
            <w:rStyle w:val="Hyperlink"/>
            <w:sz w:val="24"/>
            <w:szCs w:val="24"/>
          </w:rPr>
          <w:t>MMWR 2022 JYNNEOS</w:t>
        </w:r>
        <w:r w:rsidR="009B6A27">
          <w:rPr>
            <w:rStyle w:val="Hyperlink"/>
            <w:sz w:val="24"/>
            <w:szCs w:val="24"/>
          </w:rPr>
          <w:t>.</w:t>
        </w:r>
        <w:r w:rsidR="008545FF" w:rsidRPr="00216F6F">
          <w:rPr>
            <w:rStyle w:val="Hyperlink"/>
            <w:sz w:val="24"/>
            <w:szCs w:val="24"/>
          </w:rPr>
          <w:t xml:space="preserve"> </w:t>
        </w:r>
      </w:hyperlink>
    </w:p>
    <w:p w:rsidR="0000480D" w:rsidRPr="00216F6F" w:rsidRDefault="0000480D" w:rsidP="009B6A27">
      <w:pPr>
        <w:pStyle w:val="ListParagraph"/>
        <w:numPr>
          <w:ilvl w:val="1"/>
          <w:numId w:val="2"/>
        </w:numPr>
        <w:rPr>
          <w:sz w:val="24"/>
          <w:szCs w:val="24"/>
        </w:rPr>
      </w:pPr>
      <w:r w:rsidRPr="00216F6F">
        <w:rPr>
          <w:sz w:val="24"/>
          <w:szCs w:val="24"/>
        </w:rPr>
        <w:t>Patient previous vaccination status regarding JYNNEOS and ACAM2000 (Smallpox vaccination status)</w:t>
      </w:r>
      <w:r w:rsidR="009B6A27">
        <w:rPr>
          <w:sz w:val="24"/>
          <w:szCs w:val="24"/>
        </w:rPr>
        <w:t>.</w:t>
      </w:r>
    </w:p>
    <w:p w:rsidR="0000480D" w:rsidRPr="00216F6F" w:rsidRDefault="0000480D" w:rsidP="0000480D">
      <w:pPr>
        <w:pStyle w:val="ListParagraph"/>
        <w:numPr>
          <w:ilvl w:val="2"/>
          <w:numId w:val="2"/>
        </w:numPr>
        <w:rPr>
          <w:sz w:val="24"/>
          <w:szCs w:val="24"/>
        </w:rPr>
      </w:pPr>
      <w:r w:rsidRPr="00216F6F">
        <w:rPr>
          <w:sz w:val="24"/>
          <w:szCs w:val="24"/>
        </w:rPr>
        <w:t xml:space="preserve">Individuals with occupational exposure to more virulent forms of orthopox </w:t>
      </w:r>
      <w:proofErr w:type="gramStart"/>
      <w:r w:rsidRPr="00216F6F">
        <w:rPr>
          <w:sz w:val="24"/>
          <w:szCs w:val="24"/>
        </w:rPr>
        <w:t>should be boosted</w:t>
      </w:r>
      <w:proofErr w:type="gramEnd"/>
      <w:r w:rsidRPr="00216F6F">
        <w:rPr>
          <w:sz w:val="24"/>
          <w:szCs w:val="24"/>
        </w:rPr>
        <w:t xml:space="preserve"> with JYNNEOS every 2 years following completion of the primary series</w:t>
      </w:r>
      <w:r w:rsidR="009B6A27">
        <w:rPr>
          <w:sz w:val="24"/>
          <w:szCs w:val="24"/>
        </w:rPr>
        <w:t>.</w:t>
      </w:r>
    </w:p>
    <w:p w:rsidR="0000480D" w:rsidRPr="00216F6F" w:rsidRDefault="0000480D" w:rsidP="0000480D">
      <w:pPr>
        <w:pStyle w:val="ListParagraph"/>
        <w:numPr>
          <w:ilvl w:val="2"/>
          <w:numId w:val="2"/>
        </w:numPr>
        <w:rPr>
          <w:sz w:val="24"/>
          <w:szCs w:val="24"/>
        </w:rPr>
      </w:pPr>
      <w:r w:rsidRPr="00216F6F">
        <w:rPr>
          <w:sz w:val="24"/>
          <w:szCs w:val="24"/>
        </w:rPr>
        <w:t>Individuals with occupational</w:t>
      </w:r>
      <w:r w:rsidR="004437D3" w:rsidRPr="00216F6F">
        <w:rPr>
          <w:sz w:val="24"/>
          <w:szCs w:val="24"/>
        </w:rPr>
        <w:t xml:space="preserve"> exposure</w:t>
      </w:r>
      <w:r w:rsidRPr="00216F6F">
        <w:rPr>
          <w:sz w:val="24"/>
          <w:szCs w:val="24"/>
        </w:rPr>
        <w:t xml:space="preserve"> to less virulent forms of orthopox</w:t>
      </w:r>
      <w:r w:rsidR="004437D3" w:rsidRPr="00216F6F">
        <w:rPr>
          <w:sz w:val="24"/>
          <w:szCs w:val="24"/>
        </w:rPr>
        <w:t xml:space="preserve"> </w:t>
      </w:r>
      <w:proofErr w:type="gramStart"/>
      <w:r w:rsidR="004437D3" w:rsidRPr="00216F6F">
        <w:rPr>
          <w:sz w:val="24"/>
          <w:szCs w:val="24"/>
        </w:rPr>
        <w:t>should be boosted</w:t>
      </w:r>
      <w:proofErr w:type="gramEnd"/>
      <w:r w:rsidR="004437D3" w:rsidRPr="00216F6F">
        <w:rPr>
          <w:sz w:val="24"/>
          <w:szCs w:val="24"/>
        </w:rPr>
        <w:t xml:space="preserve"> with JYNNEOS every 10 years following completion of the primary series.</w:t>
      </w:r>
    </w:p>
    <w:p w:rsidR="004437D3" w:rsidRPr="00216F6F" w:rsidRDefault="004437D3" w:rsidP="0000480D">
      <w:pPr>
        <w:pStyle w:val="ListParagraph"/>
        <w:numPr>
          <w:ilvl w:val="2"/>
          <w:numId w:val="2"/>
        </w:numPr>
        <w:rPr>
          <w:sz w:val="24"/>
          <w:szCs w:val="24"/>
        </w:rPr>
      </w:pPr>
      <w:r w:rsidRPr="00216F6F">
        <w:rPr>
          <w:sz w:val="24"/>
          <w:szCs w:val="24"/>
        </w:rPr>
        <w:t>Individuals who have previously received ACAM2000 (Small Pox vaccine) may receive the JYNNEOS vaccine for subsequent booster doses</w:t>
      </w:r>
      <w:r w:rsidR="009B6A27">
        <w:rPr>
          <w:sz w:val="24"/>
          <w:szCs w:val="24"/>
        </w:rPr>
        <w:t>.</w:t>
      </w:r>
    </w:p>
    <w:p w:rsidR="001B1C5B" w:rsidRPr="00216F6F" w:rsidRDefault="001B1C5B" w:rsidP="001B1C5B">
      <w:pPr>
        <w:pStyle w:val="ListParagraph"/>
        <w:numPr>
          <w:ilvl w:val="0"/>
          <w:numId w:val="2"/>
        </w:numPr>
        <w:rPr>
          <w:sz w:val="24"/>
          <w:szCs w:val="24"/>
        </w:rPr>
      </w:pPr>
      <w:r w:rsidRPr="00216F6F">
        <w:rPr>
          <w:sz w:val="24"/>
          <w:szCs w:val="24"/>
        </w:rPr>
        <w:t xml:space="preserve">Screen all adults for contraindications and precautions for the </w:t>
      </w:r>
      <w:proofErr w:type="spellStart"/>
      <w:r w:rsidRPr="00216F6F">
        <w:rPr>
          <w:sz w:val="24"/>
          <w:szCs w:val="24"/>
        </w:rPr>
        <w:t>Monkeypox</w:t>
      </w:r>
      <w:proofErr w:type="spellEnd"/>
      <w:r w:rsidRPr="00216F6F">
        <w:rPr>
          <w:sz w:val="24"/>
          <w:szCs w:val="24"/>
        </w:rPr>
        <w:t xml:space="preserve"> vaccine</w:t>
      </w:r>
      <w:r w:rsidR="009B6A27">
        <w:rPr>
          <w:sz w:val="24"/>
          <w:szCs w:val="24"/>
        </w:rPr>
        <w:t>.</w:t>
      </w:r>
    </w:p>
    <w:p w:rsidR="00404594" w:rsidRPr="00216F6F" w:rsidRDefault="00FB0CA0" w:rsidP="00404594">
      <w:pPr>
        <w:pStyle w:val="ListParagraph"/>
        <w:numPr>
          <w:ilvl w:val="1"/>
          <w:numId w:val="2"/>
        </w:numPr>
        <w:rPr>
          <w:sz w:val="24"/>
          <w:szCs w:val="24"/>
        </w:rPr>
      </w:pPr>
      <w:r w:rsidRPr="00216F6F">
        <w:rPr>
          <w:sz w:val="24"/>
          <w:szCs w:val="24"/>
        </w:rPr>
        <w:t>Contraindications</w:t>
      </w:r>
    </w:p>
    <w:p w:rsidR="009E5F46" w:rsidRPr="00216F6F" w:rsidRDefault="009E5F46" w:rsidP="009E5F46">
      <w:pPr>
        <w:pStyle w:val="ListParagraph"/>
        <w:numPr>
          <w:ilvl w:val="2"/>
          <w:numId w:val="2"/>
        </w:numPr>
        <w:rPr>
          <w:sz w:val="24"/>
          <w:szCs w:val="24"/>
        </w:rPr>
      </w:pPr>
      <w:r w:rsidRPr="00216F6F">
        <w:rPr>
          <w:sz w:val="24"/>
          <w:szCs w:val="24"/>
        </w:rPr>
        <w:t>Under 18 years of age</w:t>
      </w:r>
      <w:r w:rsidR="009B6A27">
        <w:rPr>
          <w:sz w:val="24"/>
          <w:szCs w:val="24"/>
        </w:rPr>
        <w:t>.</w:t>
      </w:r>
      <w:r w:rsidRPr="00216F6F">
        <w:rPr>
          <w:sz w:val="24"/>
          <w:szCs w:val="24"/>
        </w:rPr>
        <w:t xml:space="preserve"> </w:t>
      </w:r>
    </w:p>
    <w:p w:rsidR="00581AC2" w:rsidRPr="00216F6F" w:rsidRDefault="009E5F46" w:rsidP="00581AC2">
      <w:pPr>
        <w:pStyle w:val="ListParagraph"/>
        <w:numPr>
          <w:ilvl w:val="2"/>
          <w:numId w:val="2"/>
        </w:numPr>
        <w:rPr>
          <w:sz w:val="24"/>
          <w:szCs w:val="24"/>
        </w:rPr>
      </w:pPr>
      <w:r w:rsidRPr="00216F6F">
        <w:rPr>
          <w:sz w:val="24"/>
          <w:szCs w:val="24"/>
        </w:rPr>
        <w:t xml:space="preserve">Do not give the vaccine to anyone who has had a severe allergic reaction to the JYNNEOS vaccine or any ingredient of the vaccine </w:t>
      </w:r>
      <w:hyperlink r:id="rId9" w:history="1">
        <w:r w:rsidR="00581AC2" w:rsidRPr="00216F6F">
          <w:rPr>
            <w:rStyle w:val="Hyperlink"/>
            <w:sz w:val="24"/>
            <w:szCs w:val="24"/>
          </w:rPr>
          <w:t>https://www.fda.gov/media/131078/download</w:t>
        </w:r>
      </w:hyperlink>
      <w:r w:rsidR="009B6A27">
        <w:rPr>
          <w:rStyle w:val="Hyperlink"/>
          <w:sz w:val="24"/>
          <w:szCs w:val="24"/>
        </w:rPr>
        <w:t>.</w:t>
      </w:r>
      <w:r w:rsidR="00581AC2" w:rsidRPr="00216F6F">
        <w:rPr>
          <w:sz w:val="24"/>
          <w:szCs w:val="24"/>
        </w:rPr>
        <w:t xml:space="preserve"> </w:t>
      </w:r>
    </w:p>
    <w:p w:rsidR="00B915A0" w:rsidRPr="00216F6F" w:rsidRDefault="00581AC2" w:rsidP="00A3288F">
      <w:pPr>
        <w:pStyle w:val="ListParagraph"/>
        <w:numPr>
          <w:ilvl w:val="2"/>
          <w:numId w:val="2"/>
        </w:numPr>
        <w:rPr>
          <w:sz w:val="24"/>
          <w:szCs w:val="24"/>
        </w:rPr>
      </w:pPr>
      <w:r w:rsidRPr="00216F6F">
        <w:rPr>
          <w:sz w:val="24"/>
          <w:szCs w:val="24"/>
        </w:rPr>
        <w:t>Allergy to gentamici</w:t>
      </w:r>
      <w:r w:rsidR="00B915A0" w:rsidRPr="00216F6F">
        <w:rPr>
          <w:sz w:val="24"/>
          <w:szCs w:val="24"/>
        </w:rPr>
        <w:t>n, ciprofloxacin or egg protein</w:t>
      </w:r>
      <w:r w:rsidR="009B6A27">
        <w:rPr>
          <w:sz w:val="24"/>
          <w:szCs w:val="24"/>
        </w:rPr>
        <w:t>.</w:t>
      </w:r>
    </w:p>
    <w:p w:rsidR="00B915A0" w:rsidRPr="00216F6F" w:rsidRDefault="00B915A0" w:rsidP="00B915A0">
      <w:pPr>
        <w:pStyle w:val="ListParagraph"/>
        <w:numPr>
          <w:ilvl w:val="2"/>
          <w:numId w:val="2"/>
        </w:numPr>
        <w:rPr>
          <w:sz w:val="24"/>
          <w:szCs w:val="24"/>
        </w:rPr>
      </w:pPr>
      <w:r w:rsidRPr="00216F6F">
        <w:rPr>
          <w:sz w:val="24"/>
          <w:szCs w:val="24"/>
        </w:rPr>
        <w:t>Patient is current</w:t>
      </w:r>
      <w:r w:rsidR="00896537" w:rsidRPr="00216F6F">
        <w:rPr>
          <w:sz w:val="24"/>
          <w:szCs w:val="24"/>
        </w:rPr>
        <w:t xml:space="preserve">ly taking </w:t>
      </w:r>
      <w:proofErr w:type="spellStart"/>
      <w:r w:rsidR="00896537" w:rsidRPr="00216F6F">
        <w:rPr>
          <w:sz w:val="24"/>
          <w:szCs w:val="24"/>
        </w:rPr>
        <w:t>Deflazacort</w:t>
      </w:r>
      <w:proofErr w:type="spellEnd"/>
      <w:r w:rsidR="00896537" w:rsidRPr="00216F6F">
        <w:rPr>
          <w:sz w:val="24"/>
          <w:szCs w:val="24"/>
        </w:rPr>
        <w:t xml:space="preserve"> (</w:t>
      </w:r>
      <w:proofErr w:type="spellStart"/>
      <w:r w:rsidR="00896537" w:rsidRPr="00216F6F">
        <w:rPr>
          <w:sz w:val="24"/>
          <w:szCs w:val="24"/>
        </w:rPr>
        <w:t>Calcort</w:t>
      </w:r>
      <w:proofErr w:type="spellEnd"/>
      <w:r w:rsidR="00896537" w:rsidRPr="00216F6F">
        <w:rPr>
          <w:sz w:val="24"/>
          <w:szCs w:val="24"/>
        </w:rPr>
        <w:t>)</w:t>
      </w:r>
      <w:r w:rsidR="009B6A27">
        <w:rPr>
          <w:sz w:val="24"/>
          <w:szCs w:val="24"/>
        </w:rPr>
        <w:t>.</w:t>
      </w:r>
    </w:p>
    <w:p w:rsidR="00FB0CA0" w:rsidRPr="00216F6F" w:rsidRDefault="00FB0CA0" w:rsidP="00404594">
      <w:pPr>
        <w:pStyle w:val="ListParagraph"/>
        <w:numPr>
          <w:ilvl w:val="1"/>
          <w:numId w:val="2"/>
        </w:numPr>
        <w:rPr>
          <w:sz w:val="24"/>
          <w:szCs w:val="24"/>
        </w:rPr>
      </w:pPr>
      <w:r w:rsidRPr="00216F6F">
        <w:rPr>
          <w:sz w:val="24"/>
          <w:szCs w:val="24"/>
        </w:rPr>
        <w:t xml:space="preserve">Precautions </w:t>
      </w:r>
    </w:p>
    <w:p w:rsidR="00581AC2" w:rsidRPr="00216F6F" w:rsidRDefault="00581AC2" w:rsidP="00581AC2">
      <w:pPr>
        <w:pStyle w:val="ListParagraph"/>
        <w:numPr>
          <w:ilvl w:val="2"/>
          <w:numId w:val="2"/>
        </w:numPr>
        <w:rPr>
          <w:sz w:val="24"/>
          <w:szCs w:val="24"/>
        </w:rPr>
      </w:pPr>
      <w:r w:rsidRPr="00216F6F">
        <w:rPr>
          <w:sz w:val="24"/>
          <w:szCs w:val="24"/>
        </w:rPr>
        <w:t>Moderate to severe acute illness with or without fever</w:t>
      </w:r>
      <w:r w:rsidR="009B6A27">
        <w:rPr>
          <w:sz w:val="24"/>
          <w:szCs w:val="24"/>
        </w:rPr>
        <w:t>.</w:t>
      </w:r>
      <w:r w:rsidRPr="00216F6F">
        <w:rPr>
          <w:sz w:val="24"/>
          <w:szCs w:val="24"/>
        </w:rPr>
        <w:t xml:space="preserve"> </w:t>
      </w:r>
    </w:p>
    <w:p w:rsidR="00581AC2" w:rsidRPr="00216F6F" w:rsidRDefault="00581AC2" w:rsidP="00581AC2">
      <w:pPr>
        <w:pStyle w:val="ListParagraph"/>
        <w:numPr>
          <w:ilvl w:val="2"/>
          <w:numId w:val="2"/>
        </w:numPr>
        <w:rPr>
          <w:sz w:val="24"/>
          <w:szCs w:val="24"/>
        </w:rPr>
      </w:pPr>
      <w:r w:rsidRPr="00216F6F">
        <w:rPr>
          <w:rFonts w:cs="Times New Roman"/>
          <w:sz w:val="24"/>
          <w:szCs w:val="24"/>
        </w:rPr>
        <w:lastRenderedPageBreak/>
        <w:t>Allergic reaction of any severity to polysorbate (due to potential cross-reactivity hypersensitivity with the vaccine ingredient PEG**)</w:t>
      </w:r>
      <w:r w:rsidR="009B6A27">
        <w:rPr>
          <w:rFonts w:cs="Times New Roman"/>
          <w:sz w:val="24"/>
          <w:szCs w:val="24"/>
        </w:rPr>
        <w:t>.</w:t>
      </w:r>
    </w:p>
    <w:p w:rsidR="00581AC2" w:rsidRPr="00216F6F" w:rsidRDefault="00581AC2" w:rsidP="00581AC2">
      <w:pPr>
        <w:pStyle w:val="ListParagraph"/>
        <w:numPr>
          <w:ilvl w:val="3"/>
          <w:numId w:val="2"/>
        </w:numPr>
        <w:spacing w:line="240" w:lineRule="auto"/>
        <w:rPr>
          <w:rFonts w:cs="Times New Roman"/>
          <w:sz w:val="24"/>
          <w:szCs w:val="24"/>
        </w:rPr>
      </w:pPr>
      <w:r w:rsidRPr="00216F6F">
        <w:rPr>
          <w:rFonts w:cs="Times New Roman"/>
          <w:sz w:val="24"/>
          <w:szCs w:val="24"/>
        </w:rPr>
        <w:t>Action</w:t>
      </w:r>
    </w:p>
    <w:p w:rsidR="00581AC2" w:rsidRPr="00216F6F" w:rsidRDefault="00581AC2" w:rsidP="00581AC2">
      <w:pPr>
        <w:pStyle w:val="ListParagraph"/>
        <w:numPr>
          <w:ilvl w:val="4"/>
          <w:numId w:val="2"/>
        </w:numPr>
        <w:spacing w:line="240" w:lineRule="auto"/>
        <w:rPr>
          <w:rFonts w:cs="Times New Roman"/>
          <w:sz w:val="24"/>
          <w:szCs w:val="24"/>
        </w:rPr>
      </w:pPr>
      <w:r w:rsidRPr="00216F6F">
        <w:rPr>
          <w:rFonts w:cs="Times New Roman"/>
          <w:sz w:val="24"/>
          <w:szCs w:val="24"/>
        </w:rPr>
        <w:t>Assess the risk of vaccination</w:t>
      </w:r>
      <w:r w:rsidR="009B6A27">
        <w:rPr>
          <w:rFonts w:cs="Times New Roman"/>
          <w:sz w:val="24"/>
          <w:szCs w:val="24"/>
        </w:rPr>
        <w:t>.</w:t>
      </w:r>
      <w:r w:rsidRPr="00216F6F">
        <w:rPr>
          <w:rFonts w:cs="Times New Roman"/>
          <w:sz w:val="24"/>
          <w:szCs w:val="24"/>
        </w:rPr>
        <w:t xml:space="preserve"> </w:t>
      </w:r>
    </w:p>
    <w:p w:rsidR="00581AC2" w:rsidRPr="00216F6F" w:rsidRDefault="00581AC2" w:rsidP="00581AC2">
      <w:pPr>
        <w:pStyle w:val="ListParagraph"/>
        <w:numPr>
          <w:ilvl w:val="4"/>
          <w:numId w:val="2"/>
        </w:numPr>
        <w:spacing w:line="240" w:lineRule="auto"/>
        <w:rPr>
          <w:rFonts w:cs="Times New Roman"/>
          <w:sz w:val="24"/>
          <w:szCs w:val="24"/>
        </w:rPr>
      </w:pPr>
      <w:r w:rsidRPr="00216F6F">
        <w:rPr>
          <w:rFonts w:cs="Times New Roman"/>
          <w:sz w:val="24"/>
          <w:szCs w:val="24"/>
        </w:rPr>
        <w:t>Observe patient for 30 minutes following vaccination</w:t>
      </w:r>
      <w:r w:rsidR="009B6A27">
        <w:rPr>
          <w:rFonts w:cs="Times New Roman"/>
          <w:sz w:val="24"/>
          <w:szCs w:val="24"/>
        </w:rPr>
        <w:t>.</w:t>
      </w:r>
    </w:p>
    <w:p w:rsidR="00710E8D" w:rsidRPr="00216F6F" w:rsidRDefault="00710E8D" w:rsidP="00710E8D">
      <w:pPr>
        <w:pStyle w:val="ListParagraph"/>
        <w:numPr>
          <w:ilvl w:val="2"/>
          <w:numId w:val="2"/>
        </w:numPr>
        <w:rPr>
          <w:rFonts w:cs="Times New Roman"/>
          <w:sz w:val="24"/>
          <w:szCs w:val="24"/>
        </w:rPr>
      </w:pPr>
      <w:r w:rsidRPr="00216F6F">
        <w:rPr>
          <w:rFonts w:cs="Times New Roman"/>
          <w:sz w:val="24"/>
          <w:szCs w:val="24"/>
        </w:rPr>
        <w:t>Severe allergic reaction (e.g. Anaphylaxis) to a medication** that is injectable</w:t>
      </w:r>
      <w:r w:rsidR="009B6A27">
        <w:rPr>
          <w:rFonts w:cs="Times New Roman"/>
          <w:sz w:val="24"/>
          <w:szCs w:val="24"/>
        </w:rPr>
        <w:t>.</w:t>
      </w:r>
    </w:p>
    <w:p w:rsidR="00710E8D" w:rsidRPr="00216F6F" w:rsidRDefault="00710E8D" w:rsidP="00710E8D">
      <w:pPr>
        <w:pStyle w:val="ListParagraph"/>
        <w:numPr>
          <w:ilvl w:val="3"/>
          <w:numId w:val="2"/>
        </w:numPr>
        <w:rPr>
          <w:rFonts w:cs="Times New Roman"/>
          <w:sz w:val="24"/>
          <w:szCs w:val="24"/>
        </w:rPr>
      </w:pPr>
      <w:r w:rsidRPr="00216F6F">
        <w:rPr>
          <w:rFonts w:cs="Times New Roman"/>
          <w:sz w:val="24"/>
          <w:szCs w:val="24"/>
        </w:rPr>
        <w:t>Action</w:t>
      </w:r>
    </w:p>
    <w:p w:rsidR="00710E8D" w:rsidRPr="00216F6F" w:rsidRDefault="00710E8D" w:rsidP="00710E8D">
      <w:pPr>
        <w:pStyle w:val="ListParagraph"/>
        <w:numPr>
          <w:ilvl w:val="4"/>
          <w:numId w:val="2"/>
        </w:numPr>
        <w:rPr>
          <w:rFonts w:cs="Times New Roman"/>
          <w:sz w:val="24"/>
          <w:szCs w:val="24"/>
        </w:rPr>
      </w:pPr>
      <w:r w:rsidRPr="00216F6F">
        <w:rPr>
          <w:rFonts w:cs="Times New Roman"/>
          <w:sz w:val="24"/>
          <w:szCs w:val="24"/>
        </w:rPr>
        <w:t>Assess the risk of vaccination</w:t>
      </w:r>
      <w:r w:rsidR="009B6A27">
        <w:rPr>
          <w:rFonts w:cs="Times New Roman"/>
          <w:sz w:val="24"/>
          <w:szCs w:val="24"/>
        </w:rPr>
        <w:t>.</w:t>
      </w:r>
    </w:p>
    <w:p w:rsidR="00581AC2" w:rsidRPr="00216F6F" w:rsidRDefault="00710E8D" w:rsidP="00BE5D96">
      <w:pPr>
        <w:pStyle w:val="ListParagraph"/>
        <w:numPr>
          <w:ilvl w:val="4"/>
          <w:numId w:val="2"/>
        </w:numPr>
        <w:rPr>
          <w:rFonts w:cs="Times New Roman"/>
          <w:sz w:val="24"/>
          <w:szCs w:val="24"/>
        </w:rPr>
      </w:pPr>
      <w:r w:rsidRPr="00216F6F">
        <w:rPr>
          <w:rFonts w:cs="Times New Roman"/>
          <w:sz w:val="24"/>
          <w:szCs w:val="24"/>
        </w:rPr>
        <w:t>Observe patient for 30 minutes following vaccination</w:t>
      </w:r>
      <w:r w:rsidR="009B6A27">
        <w:rPr>
          <w:rFonts w:cs="Times New Roman"/>
          <w:sz w:val="24"/>
          <w:szCs w:val="24"/>
        </w:rPr>
        <w:t>.</w:t>
      </w:r>
    </w:p>
    <w:p w:rsidR="0035381F" w:rsidRPr="00216F6F" w:rsidRDefault="00BE5D96" w:rsidP="00BE5D96">
      <w:pPr>
        <w:pStyle w:val="ListParagraph"/>
        <w:numPr>
          <w:ilvl w:val="2"/>
          <w:numId w:val="2"/>
        </w:numPr>
        <w:rPr>
          <w:rFonts w:cs="Times New Roman"/>
          <w:sz w:val="24"/>
          <w:szCs w:val="24"/>
        </w:rPr>
      </w:pPr>
      <w:r w:rsidRPr="00216F6F">
        <w:rPr>
          <w:rFonts w:cs="Times New Roman"/>
          <w:sz w:val="24"/>
          <w:szCs w:val="24"/>
        </w:rPr>
        <w:t xml:space="preserve">Separate JYNNEOS and </w:t>
      </w:r>
      <w:r w:rsidR="00A40BEA" w:rsidRPr="00216F6F">
        <w:rPr>
          <w:rFonts w:cs="Times New Roman"/>
          <w:sz w:val="24"/>
          <w:szCs w:val="24"/>
        </w:rPr>
        <w:t>an</w:t>
      </w:r>
      <w:r w:rsidRPr="00216F6F">
        <w:rPr>
          <w:rFonts w:cs="Times New Roman"/>
          <w:sz w:val="24"/>
          <w:szCs w:val="24"/>
        </w:rPr>
        <w:t xml:space="preserve"> mRNA COVID-19 vaccine by 4 weeks due to theoretical concerns regarding myocarditis.  If JYNNEOS is recommended for PEP in an outbreak </w:t>
      </w:r>
      <w:proofErr w:type="gramStart"/>
      <w:r w:rsidRPr="00216F6F">
        <w:rPr>
          <w:rFonts w:cs="Times New Roman"/>
          <w:sz w:val="24"/>
          <w:szCs w:val="24"/>
        </w:rPr>
        <w:t>setting</w:t>
      </w:r>
      <w:proofErr w:type="gramEnd"/>
      <w:r w:rsidRPr="00216F6F">
        <w:rPr>
          <w:rFonts w:cs="Times New Roman"/>
          <w:sz w:val="24"/>
          <w:szCs w:val="24"/>
        </w:rPr>
        <w:t xml:space="preserve"> do not delay</w:t>
      </w:r>
      <w:r w:rsidR="009B6A27">
        <w:rPr>
          <w:rFonts w:cs="Times New Roman"/>
          <w:sz w:val="24"/>
          <w:szCs w:val="24"/>
        </w:rPr>
        <w:t>.</w:t>
      </w:r>
      <w:r w:rsidRPr="00216F6F">
        <w:rPr>
          <w:rFonts w:cs="Times New Roman"/>
          <w:sz w:val="24"/>
          <w:szCs w:val="24"/>
        </w:rPr>
        <w:t xml:space="preserve"> </w:t>
      </w:r>
    </w:p>
    <w:p w:rsidR="00896537" w:rsidRPr="00216F6F" w:rsidRDefault="00896537" w:rsidP="00BE5D96">
      <w:pPr>
        <w:pStyle w:val="ListParagraph"/>
        <w:numPr>
          <w:ilvl w:val="2"/>
          <w:numId w:val="2"/>
        </w:numPr>
        <w:rPr>
          <w:rFonts w:cs="Times New Roman"/>
          <w:sz w:val="24"/>
          <w:szCs w:val="24"/>
        </w:rPr>
      </w:pPr>
      <w:r w:rsidRPr="00216F6F">
        <w:rPr>
          <w:rFonts w:cs="Times New Roman"/>
          <w:sz w:val="24"/>
          <w:szCs w:val="24"/>
        </w:rPr>
        <w:t>If taking any of the following medications consult with a physician before vaccination</w:t>
      </w:r>
      <w:r w:rsidR="009B6A27">
        <w:rPr>
          <w:rFonts w:cs="Times New Roman"/>
          <w:sz w:val="24"/>
          <w:szCs w:val="24"/>
        </w:rPr>
        <w:t>.</w:t>
      </w:r>
      <w:r w:rsidRPr="00216F6F">
        <w:rPr>
          <w:rFonts w:cs="Times New Roman"/>
          <w:sz w:val="24"/>
          <w:szCs w:val="24"/>
        </w:rPr>
        <w:t xml:space="preserve"> </w:t>
      </w:r>
    </w:p>
    <w:p w:rsidR="00896537" w:rsidRPr="00216F6F" w:rsidRDefault="00896537" w:rsidP="00896537">
      <w:pPr>
        <w:pStyle w:val="ListParagraph"/>
        <w:ind w:left="3240"/>
        <w:rPr>
          <w:rFonts w:cs="Times New Roman"/>
          <w:sz w:val="24"/>
          <w:szCs w:val="24"/>
        </w:rPr>
      </w:pPr>
      <w:r w:rsidRPr="00216F6F">
        <w:rPr>
          <w:sz w:val="24"/>
          <w:szCs w:val="24"/>
        </w:rPr>
        <w:t>▪ SAPHNELO™ (Anifrolumab-fnia) ▪ ILARIS® (Canakinumab) ▪ DUPIXENT® (Dupilumab) ▪ GILENYA® (Fingolimod) ▪ TALTZ® (Ixekizumab) ▪ ZEPOSIA® (Ozanimod) ▪ PONVORY™ (Ponesimod) ▪ COSENTYX® (Secukinumab) ▪ MAYZENT® (Siponimod) ▪ ADBRY™ (Tralokinumab-ldrm) ▪ LUPKYNIS™ (Voclosporin)</w:t>
      </w:r>
    </w:p>
    <w:p w:rsidR="009E5F46" w:rsidRPr="00216F6F" w:rsidRDefault="001B1C5B" w:rsidP="00896537">
      <w:pPr>
        <w:pStyle w:val="ListParagraph"/>
        <w:numPr>
          <w:ilvl w:val="0"/>
          <w:numId w:val="2"/>
        </w:numPr>
        <w:rPr>
          <w:sz w:val="24"/>
          <w:szCs w:val="24"/>
        </w:rPr>
      </w:pPr>
      <w:r w:rsidRPr="00216F6F">
        <w:rPr>
          <w:sz w:val="24"/>
          <w:szCs w:val="24"/>
        </w:rPr>
        <w:t>Special Populations</w:t>
      </w:r>
    </w:p>
    <w:p w:rsidR="009E5F46" w:rsidRPr="00216F6F" w:rsidRDefault="009E5F46" w:rsidP="00BE5D96">
      <w:pPr>
        <w:pStyle w:val="ListParagraph"/>
        <w:numPr>
          <w:ilvl w:val="1"/>
          <w:numId w:val="2"/>
        </w:numPr>
        <w:rPr>
          <w:sz w:val="24"/>
          <w:szCs w:val="24"/>
        </w:rPr>
      </w:pPr>
      <w:r w:rsidRPr="00216F6F">
        <w:rPr>
          <w:sz w:val="24"/>
          <w:szCs w:val="24"/>
        </w:rPr>
        <w:t>Pregnancy</w:t>
      </w:r>
      <w:r w:rsidR="00BE5D96" w:rsidRPr="00216F6F">
        <w:rPr>
          <w:sz w:val="24"/>
          <w:szCs w:val="24"/>
        </w:rPr>
        <w:t>- Data are insufficient to determine vaccine-associated risks in pregnancy.  In animals who received JYNNEOS, there has been no evidence of harm to the developing fetus</w:t>
      </w:r>
      <w:r w:rsidR="009B6A27">
        <w:rPr>
          <w:sz w:val="24"/>
          <w:szCs w:val="24"/>
        </w:rPr>
        <w:t>.</w:t>
      </w:r>
    </w:p>
    <w:p w:rsidR="009E5F46" w:rsidRPr="00216F6F" w:rsidRDefault="009E5F46" w:rsidP="00BE5D96">
      <w:pPr>
        <w:pStyle w:val="ListParagraph"/>
        <w:numPr>
          <w:ilvl w:val="1"/>
          <w:numId w:val="2"/>
        </w:numPr>
        <w:rPr>
          <w:sz w:val="24"/>
          <w:szCs w:val="24"/>
        </w:rPr>
      </w:pPr>
      <w:r w:rsidRPr="00216F6F">
        <w:rPr>
          <w:sz w:val="24"/>
          <w:szCs w:val="24"/>
        </w:rPr>
        <w:t>Breastfeeding and lactating females</w:t>
      </w:r>
      <w:r w:rsidR="00BE5D96" w:rsidRPr="00216F6F">
        <w:rPr>
          <w:sz w:val="24"/>
          <w:szCs w:val="24"/>
        </w:rPr>
        <w:t xml:space="preserve">- It </w:t>
      </w:r>
      <w:proofErr w:type="gramStart"/>
      <w:r w:rsidR="00BE5D96" w:rsidRPr="00216F6F">
        <w:rPr>
          <w:sz w:val="24"/>
          <w:szCs w:val="24"/>
        </w:rPr>
        <w:t>is not known</w:t>
      </w:r>
      <w:proofErr w:type="gramEnd"/>
      <w:r w:rsidR="00BE5D96" w:rsidRPr="00216F6F">
        <w:rPr>
          <w:sz w:val="24"/>
          <w:szCs w:val="24"/>
        </w:rPr>
        <w:t xml:space="preserve"> whether JYNNEOS is excreted in human milk or is safe in breastfed infants. However, per CDC it is unlikely to present a risk of transmission to breastfed infants and </w:t>
      </w:r>
      <w:proofErr w:type="gramStart"/>
      <w:r w:rsidR="00BE5D96" w:rsidRPr="00216F6F">
        <w:rPr>
          <w:sz w:val="24"/>
          <w:szCs w:val="24"/>
        </w:rPr>
        <w:t>can be administered</w:t>
      </w:r>
      <w:proofErr w:type="gramEnd"/>
      <w:r w:rsidR="00BE5D96" w:rsidRPr="00216F6F">
        <w:rPr>
          <w:sz w:val="24"/>
          <w:szCs w:val="24"/>
        </w:rPr>
        <w:t xml:space="preserve"> to women who are breastfeeding if vaccination is critical.</w:t>
      </w:r>
    </w:p>
    <w:p w:rsidR="009E5F46" w:rsidRPr="00216F6F" w:rsidRDefault="009E5F46" w:rsidP="009E5F46">
      <w:pPr>
        <w:pStyle w:val="ListParagraph"/>
        <w:numPr>
          <w:ilvl w:val="1"/>
          <w:numId w:val="2"/>
        </w:numPr>
        <w:rPr>
          <w:sz w:val="24"/>
          <w:szCs w:val="24"/>
        </w:rPr>
      </w:pPr>
      <w:r w:rsidRPr="00216F6F">
        <w:rPr>
          <w:sz w:val="24"/>
          <w:szCs w:val="24"/>
        </w:rPr>
        <w:t>Immune compromised individuals may have a diminished immune response to JYNNEOS</w:t>
      </w:r>
      <w:r w:rsidR="009B6A27">
        <w:rPr>
          <w:sz w:val="24"/>
          <w:szCs w:val="24"/>
        </w:rPr>
        <w:t>.</w:t>
      </w:r>
    </w:p>
    <w:p w:rsidR="001B1C5B" w:rsidRPr="00216F6F" w:rsidRDefault="009E5F46" w:rsidP="009E5F46">
      <w:pPr>
        <w:pStyle w:val="ListParagraph"/>
        <w:numPr>
          <w:ilvl w:val="1"/>
          <w:numId w:val="2"/>
        </w:numPr>
        <w:rPr>
          <w:sz w:val="24"/>
          <w:szCs w:val="24"/>
        </w:rPr>
      </w:pPr>
      <w:r w:rsidRPr="00216F6F">
        <w:rPr>
          <w:sz w:val="24"/>
          <w:szCs w:val="24"/>
        </w:rPr>
        <w:t>Individuals with underlying heart disease or 3 or more cardiac risk factors (hypertension, diabetes, hypercholesterolemia, heart disease at age 50 or younger in a first degree relative (parent, sibling or child) and smoking</w:t>
      </w:r>
      <w:r w:rsidR="001B1C5B" w:rsidRPr="00216F6F">
        <w:rPr>
          <w:sz w:val="24"/>
          <w:szCs w:val="24"/>
        </w:rPr>
        <w:t xml:space="preserve"> </w:t>
      </w:r>
      <w:r w:rsidRPr="00216F6F">
        <w:rPr>
          <w:sz w:val="24"/>
          <w:szCs w:val="24"/>
        </w:rPr>
        <w:t>should be counseled about theoretical risk of myopericarditis following vaccination with JYNNEOS</w:t>
      </w:r>
      <w:r w:rsidR="009B6A27">
        <w:rPr>
          <w:sz w:val="24"/>
          <w:szCs w:val="24"/>
        </w:rPr>
        <w:t>.</w:t>
      </w:r>
    </w:p>
    <w:p w:rsidR="00896537" w:rsidRPr="00216F6F" w:rsidRDefault="00896537" w:rsidP="006F2111">
      <w:pPr>
        <w:pStyle w:val="ListParagraph"/>
        <w:numPr>
          <w:ilvl w:val="0"/>
          <w:numId w:val="2"/>
        </w:numPr>
        <w:rPr>
          <w:sz w:val="24"/>
          <w:szCs w:val="24"/>
        </w:rPr>
      </w:pPr>
      <w:r w:rsidRPr="00216F6F">
        <w:rPr>
          <w:sz w:val="24"/>
          <w:szCs w:val="24"/>
        </w:rPr>
        <w:t>Provide the Vaccine information Statement</w:t>
      </w:r>
    </w:p>
    <w:p w:rsidR="00896537" w:rsidRPr="00216F6F" w:rsidRDefault="00896537" w:rsidP="00896537">
      <w:pPr>
        <w:pStyle w:val="ListParagraph"/>
        <w:numPr>
          <w:ilvl w:val="1"/>
          <w:numId w:val="2"/>
        </w:numPr>
        <w:rPr>
          <w:sz w:val="24"/>
          <w:szCs w:val="24"/>
        </w:rPr>
      </w:pPr>
      <w:r w:rsidRPr="00216F6F">
        <w:rPr>
          <w:sz w:val="24"/>
          <w:szCs w:val="24"/>
        </w:rPr>
        <w:t>Provide all patients (or in the case of minors or incapacitated adults their legal representative) with a copy of the most current federal Vaccine Information Statement (VIS).  Provide non-English speaking patients with a copy of the VIS in their native language if one is available and</w:t>
      </w:r>
      <w:r w:rsidR="009B6A27">
        <w:rPr>
          <w:sz w:val="24"/>
          <w:szCs w:val="24"/>
        </w:rPr>
        <w:t xml:space="preserve"> desired; these </w:t>
      </w:r>
      <w:proofErr w:type="gramStart"/>
      <w:r w:rsidR="009B6A27">
        <w:rPr>
          <w:sz w:val="24"/>
          <w:szCs w:val="24"/>
        </w:rPr>
        <w:t>can be found</w:t>
      </w:r>
      <w:proofErr w:type="gramEnd"/>
      <w:r w:rsidR="009B6A27">
        <w:rPr>
          <w:sz w:val="24"/>
          <w:szCs w:val="24"/>
        </w:rPr>
        <w:t xml:space="preserve"> at</w:t>
      </w:r>
      <w:r w:rsidR="001B1C5B" w:rsidRPr="00216F6F">
        <w:rPr>
          <w:sz w:val="24"/>
          <w:szCs w:val="24"/>
        </w:rPr>
        <w:t xml:space="preserve"> </w:t>
      </w:r>
      <w:hyperlink r:id="rId10" w:history="1">
        <w:r w:rsidRPr="00216F6F">
          <w:rPr>
            <w:color w:val="0000FF"/>
            <w:sz w:val="24"/>
            <w:szCs w:val="24"/>
            <w:u w:val="single"/>
          </w:rPr>
          <w:t>Vaccine Information Statement for JYNNEOS</w:t>
        </w:r>
      </w:hyperlink>
      <w:r w:rsidR="009B6A27">
        <w:rPr>
          <w:color w:val="0000FF"/>
          <w:sz w:val="24"/>
          <w:szCs w:val="24"/>
          <w:u w:val="single"/>
        </w:rPr>
        <w:t>.</w:t>
      </w:r>
      <w:r w:rsidR="009B6A27">
        <w:rPr>
          <w:color w:val="0000FF"/>
          <w:sz w:val="24"/>
          <w:szCs w:val="24"/>
          <w:u w:val="single"/>
        </w:rPr>
        <w:br/>
      </w:r>
    </w:p>
    <w:p w:rsidR="001B1C5B" w:rsidRPr="00216F6F" w:rsidRDefault="009B6A27" w:rsidP="006F2111">
      <w:pPr>
        <w:pStyle w:val="ListParagraph"/>
        <w:numPr>
          <w:ilvl w:val="0"/>
          <w:numId w:val="2"/>
        </w:numPr>
        <w:rPr>
          <w:sz w:val="24"/>
          <w:szCs w:val="24"/>
        </w:rPr>
      </w:pPr>
      <w:r>
        <w:rPr>
          <w:sz w:val="24"/>
          <w:szCs w:val="24"/>
        </w:rPr>
        <w:lastRenderedPageBreak/>
        <w:t>Prepare the V</w:t>
      </w:r>
      <w:r w:rsidR="001B1C5B" w:rsidRPr="00216F6F">
        <w:rPr>
          <w:sz w:val="24"/>
          <w:szCs w:val="24"/>
        </w:rPr>
        <w:t xml:space="preserve">accine </w:t>
      </w:r>
    </w:p>
    <w:p w:rsidR="001B1C5B" w:rsidRPr="00216F6F" w:rsidRDefault="001B1C5B" w:rsidP="001B1C5B">
      <w:pPr>
        <w:pStyle w:val="ListParagraph"/>
        <w:numPr>
          <w:ilvl w:val="1"/>
          <w:numId w:val="2"/>
        </w:numPr>
        <w:rPr>
          <w:rFonts w:cs="Times New Roman"/>
          <w:sz w:val="24"/>
          <w:szCs w:val="24"/>
        </w:rPr>
      </w:pPr>
      <w:r w:rsidRPr="00216F6F">
        <w:rPr>
          <w:rFonts w:cs="Times New Roman"/>
          <w:sz w:val="24"/>
          <w:szCs w:val="24"/>
        </w:rPr>
        <w:t>Choose the correct needle length and gauge for an intramuscular injection</w:t>
      </w:r>
      <w:r w:rsidR="009B6A27">
        <w:rPr>
          <w:rFonts w:cs="Times New Roman"/>
          <w:sz w:val="24"/>
          <w:szCs w:val="24"/>
        </w:rPr>
        <w:t>.</w:t>
      </w:r>
      <w:r w:rsidRPr="00216F6F">
        <w:rPr>
          <w:rFonts w:cs="Times New Roman"/>
          <w:sz w:val="24"/>
          <w:szCs w:val="24"/>
        </w:rPr>
        <w:t xml:space="preserve">  </w:t>
      </w:r>
    </w:p>
    <w:tbl>
      <w:tblPr>
        <w:tblStyle w:val="TableGrid"/>
        <w:tblW w:w="0" w:type="auto"/>
        <w:tblInd w:w="720" w:type="dxa"/>
        <w:tblLook w:val="04A0" w:firstRow="1" w:lastRow="0" w:firstColumn="1" w:lastColumn="0" w:noHBand="0" w:noVBand="1"/>
      </w:tblPr>
      <w:tblGrid>
        <w:gridCol w:w="2065"/>
        <w:gridCol w:w="1710"/>
        <w:gridCol w:w="1890"/>
        <w:gridCol w:w="2965"/>
      </w:tblGrid>
      <w:tr w:rsidR="001B1C5B" w:rsidRPr="009B6A27" w:rsidTr="009B6A27">
        <w:tc>
          <w:tcPr>
            <w:tcW w:w="2065" w:type="dxa"/>
          </w:tcPr>
          <w:p w:rsidR="001B1C5B" w:rsidRPr="009B6A27" w:rsidRDefault="00F0667E" w:rsidP="00035412">
            <w:pPr>
              <w:spacing w:after="160" w:line="259" w:lineRule="auto"/>
              <w:rPr>
                <w:rFonts w:cstheme="minorHAnsi"/>
                <w:b/>
                <w:bCs/>
                <w:sz w:val="24"/>
                <w:szCs w:val="24"/>
              </w:rPr>
            </w:pPr>
            <w:r w:rsidRPr="009B6A27">
              <w:rPr>
                <w:rFonts w:cstheme="minorHAnsi"/>
                <w:b/>
                <w:bCs/>
                <w:sz w:val="24"/>
                <w:szCs w:val="24"/>
              </w:rPr>
              <w:t xml:space="preserve">Age of Patient </w:t>
            </w:r>
          </w:p>
        </w:tc>
        <w:tc>
          <w:tcPr>
            <w:tcW w:w="1710" w:type="dxa"/>
          </w:tcPr>
          <w:p w:rsidR="001B1C5B" w:rsidRPr="009B6A27" w:rsidRDefault="001B1C5B" w:rsidP="00035412">
            <w:pPr>
              <w:spacing w:after="160" w:line="259" w:lineRule="auto"/>
              <w:rPr>
                <w:rFonts w:cstheme="minorHAnsi"/>
                <w:b/>
                <w:bCs/>
                <w:sz w:val="24"/>
                <w:szCs w:val="24"/>
              </w:rPr>
            </w:pPr>
            <w:r w:rsidRPr="009B6A27">
              <w:rPr>
                <w:rFonts w:cstheme="minorHAnsi"/>
                <w:b/>
                <w:bCs/>
                <w:sz w:val="24"/>
                <w:szCs w:val="24"/>
              </w:rPr>
              <w:t xml:space="preserve">Needle Gauge </w:t>
            </w:r>
          </w:p>
        </w:tc>
        <w:tc>
          <w:tcPr>
            <w:tcW w:w="1890" w:type="dxa"/>
          </w:tcPr>
          <w:p w:rsidR="001B1C5B" w:rsidRPr="009B6A27" w:rsidRDefault="001B1C5B" w:rsidP="00035412">
            <w:pPr>
              <w:spacing w:after="160" w:line="259" w:lineRule="auto"/>
              <w:rPr>
                <w:rFonts w:cstheme="minorHAnsi"/>
                <w:b/>
                <w:bCs/>
                <w:sz w:val="24"/>
                <w:szCs w:val="24"/>
              </w:rPr>
            </w:pPr>
            <w:r w:rsidRPr="009B6A27">
              <w:rPr>
                <w:rFonts w:cstheme="minorHAnsi"/>
                <w:b/>
                <w:bCs/>
                <w:sz w:val="24"/>
                <w:szCs w:val="24"/>
              </w:rPr>
              <w:t>Needle Length</w:t>
            </w:r>
          </w:p>
        </w:tc>
        <w:tc>
          <w:tcPr>
            <w:tcW w:w="2965" w:type="dxa"/>
          </w:tcPr>
          <w:p w:rsidR="001B1C5B" w:rsidRPr="009B6A27" w:rsidRDefault="001B1C5B" w:rsidP="00035412">
            <w:pPr>
              <w:spacing w:after="160" w:line="259" w:lineRule="auto"/>
              <w:rPr>
                <w:rFonts w:cstheme="minorHAnsi"/>
                <w:b/>
                <w:bCs/>
                <w:sz w:val="24"/>
                <w:szCs w:val="24"/>
              </w:rPr>
            </w:pPr>
            <w:r w:rsidRPr="009B6A27">
              <w:rPr>
                <w:rFonts w:cstheme="minorHAnsi"/>
                <w:b/>
                <w:bCs/>
                <w:sz w:val="24"/>
                <w:szCs w:val="24"/>
              </w:rPr>
              <w:t>Injection Site</w:t>
            </w:r>
          </w:p>
        </w:tc>
      </w:tr>
      <w:tr w:rsidR="001B1C5B" w:rsidRPr="00216F6F" w:rsidTr="009B6A27">
        <w:tc>
          <w:tcPr>
            <w:tcW w:w="2065" w:type="dxa"/>
          </w:tcPr>
          <w:p w:rsidR="001B1C5B" w:rsidRPr="009B6A27" w:rsidRDefault="00F0667E" w:rsidP="00035412">
            <w:pPr>
              <w:spacing w:after="160" w:line="259" w:lineRule="auto"/>
              <w:rPr>
                <w:rFonts w:cstheme="minorHAnsi"/>
                <w:bCs/>
                <w:sz w:val="24"/>
                <w:szCs w:val="24"/>
              </w:rPr>
            </w:pPr>
            <w:r w:rsidRPr="009B6A27">
              <w:rPr>
                <w:rFonts w:cstheme="minorHAnsi"/>
                <w:bCs/>
                <w:sz w:val="24"/>
                <w:szCs w:val="24"/>
              </w:rPr>
              <w:t xml:space="preserve">18 years and older </w:t>
            </w:r>
          </w:p>
        </w:tc>
        <w:tc>
          <w:tcPr>
            <w:tcW w:w="1710" w:type="dxa"/>
          </w:tcPr>
          <w:p w:rsidR="001B1C5B" w:rsidRPr="009B6A27" w:rsidRDefault="001B1C5B" w:rsidP="00F0667E">
            <w:pPr>
              <w:spacing w:after="160" w:line="259" w:lineRule="auto"/>
              <w:rPr>
                <w:rFonts w:cstheme="minorHAnsi"/>
                <w:bCs/>
                <w:sz w:val="24"/>
                <w:szCs w:val="24"/>
              </w:rPr>
            </w:pPr>
            <w:r w:rsidRPr="009B6A27">
              <w:rPr>
                <w:rFonts w:cstheme="minorHAnsi"/>
                <w:bCs/>
                <w:sz w:val="24"/>
                <w:szCs w:val="24"/>
              </w:rPr>
              <w:t>2</w:t>
            </w:r>
            <w:r w:rsidR="00F0667E" w:rsidRPr="009B6A27">
              <w:rPr>
                <w:rFonts w:cstheme="minorHAnsi"/>
                <w:bCs/>
                <w:sz w:val="24"/>
                <w:szCs w:val="24"/>
              </w:rPr>
              <w:t>3</w:t>
            </w:r>
            <w:r w:rsidRPr="009B6A27">
              <w:rPr>
                <w:rFonts w:cstheme="minorHAnsi"/>
                <w:bCs/>
                <w:sz w:val="24"/>
                <w:szCs w:val="24"/>
              </w:rPr>
              <w:t>-25</w:t>
            </w:r>
          </w:p>
        </w:tc>
        <w:tc>
          <w:tcPr>
            <w:tcW w:w="1890" w:type="dxa"/>
          </w:tcPr>
          <w:p w:rsidR="001B1C5B" w:rsidRPr="009B6A27" w:rsidRDefault="001B1C5B" w:rsidP="00F0667E">
            <w:pPr>
              <w:spacing w:after="160" w:line="259" w:lineRule="auto"/>
              <w:rPr>
                <w:rFonts w:cstheme="minorHAnsi"/>
                <w:bCs/>
                <w:sz w:val="24"/>
                <w:szCs w:val="24"/>
              </w:rPr>
            </w:pPr>
            <w:r w:rsidRPr="009B6A27">
              <w:rPr>
                <w:rFonts w:cstheme="minorHAnsi"/>
                <w:bCs/>
                <w:sz w:val="24"/>
                <w:szCs w:val="24"/>
              </w:rPr>
              <w:t xml:space="preserve">5/8” </w:t>
            </w:r>
          </w:p>
        </w:tc>
        <w:tc>
          <w:tcPr>
            <w:tcW w:w="2965" w:type="dxa"/>
          </w:tcPr>
          <w:p w:rsidR="001B1C5B" w:rsidRPr="009B6A27" w:rsidRDefault="00F0667E" w:rsidP="00F0667E">
            <w:pPr>
              <w:spacing w:after="160" w:line="259" w:lineRule="auto"/>
              <w:rPr>
                <w:rFonts w:cstheme="minorHAnsi"/>
                <w:bCs/>
                <w:sz w:val="24"/>
                <w:szCs w:val="24"/>
              </w:rPr>
            </w:pPr>
            <w:r w:rsidRPr="009B6A27">
              <w:rPr>
                <w:rFonts w:cstheme="minorHAnsi"/>
                <w:bCs/>
                <w:sz w:val="24"/>
                <w:szCs w:val="24"/>
              </w:rPr>
              <w:t xml:space="preserve">Fatty tissue over the triceps </w:t>
            </w:r>
          </w:p>
        </w:tc>
      </w:tr>
    </w:tbl>
    <w:p w:rsidR="001B1C5B" w:rsidRPr="00216F6F" w:rsidRDefault="00510B40" w:rsidP="001B1C5B">
      <w:pPr>
        <w:pStyle w:val="ListParagraph"/>
        <w:rPr>
          <w:rFonts w:cs="Times New Roman"/>
          <w:sz w:val="24"/>
          <w:szCs w:val="24"/>
        </w:rPr>
      </w:pPr>
      <w:r w:rsidRPr="00216F6F">
        <w:rPr>
          <w:rFonts w:ascii="Arial" w:hAnsi="Arial" w:cs="Arial"/>
          <w:b/>
          <w:noProof/>
          <w:sz w:val="24"/>
          <w:szCs w:val="24"/>
        </w:rPr>
        <w:drawing>
          <wp:inline distT="0" distB="0" distL="0" distR="0" wp14:anchorId="0DEC8D15" wp14:editId="46ED1AF2">
            <wp:extent cx="2457450" cy="18908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5993" cy="1905088"/>
                    </a:xfrm>
                    <a:prstGeom prst="rect">
                      <a:avLst/>
                    </a:prstGeom>
                  </pic:spPr>
                </pic:pic>
              </a:graphicData>
            </a:graphic>
          </wp:inline>
        </w:drawing>
      </w:r>
    </w:p>
    <w:p w:rsidR="00896537" w:rsidRPr="00216F6F" w:rsidRDefault="00896537" w:rsidP="001B1C5B">
      <w:pPr>
        <w:pStyle w:val="ListParagraph"/>
        <w:rPr>
          <w:rFonts w:cs="Times New Roman"/>
          <w:sz w:val="24"/>
          <w:szCs w:val="24"/>
        </w:rPr>
      </w:pPr>
    </w:p>
    <w:p w:rsidR="001B1C5B" w:rsidRPr="00216F6F" w:rsidRDefault="001B1C5B" w:rsidP="001B1C5B">
      <w:pPr>
        <w:pStyle w:val="ListParagraph"/>
        <w:numPr>
          <w:ilvl w:val="1"/>
          <w:numId w:val="2"/>
        </w:numPr>
        <w:rPr>
          <w:sz w:val="24"/>
          <w:szCs w:val="24"/>
        </w:rPr>
      </w:pPr>
      <w:r w:rsidRPr="00216F6F">
        <w:rPr>
          <w:sz w:val="24"/>
          <w:szCs w:val="24"/>
        </w:rPr>
        <w:t xml:space="preserve">Prepare the JYNNEOS Vaccine </w:t>
      </w:r>
    </w:p>
    <w:p w:rsidR="00510B40" w:rsidRPr="00216F6F" w:rsidRDefault="00510B40" w:rsidP="00510B40">
      <w:pPr>
        <w:pStyle w:val="ListParagraph"/>
        <w:numPr>
          <w:ilvl w:val="0"/>
          <w:numId w:val="5"/>
        </w:numPr>
        <w:rPr>
          <w:rFonts w:cstheme="minorHAnsi"/>
          <w:sz w:val="24"/>
          <w:szCs w:val="24"/>
        </w:rPr>
      </w:pPr>
      <w:r w:rsidRPr="00216F6F">
        <w:rPr>
          <w:rFonts w:cstheme="minorHAnsi"/>
          <w:sz w:val="24"/>
          <w:szCs w:val="24"/>
        </w:rPr>
        <w:t>Remove the single dose vial from the storage unit</w:t>
      </w:r>
      <w:r w:rsidR="009B6A27">
        <w:rPr>
          <w:rFonts w:cstheme="minorHAnsi"/>
          <w:sz w:val="24"/>
          <w:szCs w:val="24"/>
        </w:rPr>
        <w:t>.</w:t>
      </w:r>
      <w:r w:rsidRPr="00216F6F">
        <w:rPr>
          <w:rFonts w:cstheme="minorHAnsi"/>
          <w:sz w:val="24"/>
          <w:szCs w:val="24"/>
        </w:rPr>
        <w:t xml:space="preserve"> </w:t>
      </w:r>
    </w:p>
    <w:p w:rsidR="00510B40" w:rsidRPr="00216F6F" w:rsidRDefault="00510B40" w:rsidP="00510B40">
      <w:pPr>
        <w:pStyle w:val="ListParagraph"/>
        <w:numPr>
          <w:ilvl w:val="0"/>
          <w:numId w:val="5"/>
        </w:numPr>
        <w:rPr>
          <w:rFonts w:cstheme="minorHAnsi"/>
          <w:sz w:val="24"/>
          <w:szCs w:val="24"/>
        </w:rPr>
      </w:pPr>
      <w:r w:rsidRPr="00216F6F">
        <w:rPr>
          <w:rFonts w:cstheme="minorHAnsi"/>
          <w:sz w:val="24"/>
          <w:szCs w:val="24"/>
        </w:rPr>
        <w:t>If preparing from a frozen state allow 10 minutes for vaccine to thaw</w:t>
      </w:r>
      <w:r w:rsidR="009B6A27">
        <w:rPr>
          <w:rFonts w:cstheme="minorHAnsi"/>
          <w:sz w:val="24"/>
          <w:szCs w:val="24"/>
        </w:rPr>
        <w:t>.</w:t>
      </w:r>
    </w:p>
    <w:p w:rsidR="00510B40" w:rsidRPr="00216F6F" w:rsidRDefault="00510B40" w:rsidP="00510B40">
      <w:pPr>
        <w:pStyle w:val="ListParagraph"/>
        <w:numPr>
          <w:ilvl w:val="0"/>
          <w:numId w:val="5"/>
        </w:numPr>
        <w:rPr>
          <w:rFonts w:cstheme="minorHAnsi"/>
          <w:sz w:val="24"/>
          <w:szCs w:val="24"/>
        </w:rPr>
      </w:pPr>
      <w:r w:rsidRPr="00216F6F">
        <w:rPr>
          <w:rFonts w:cstheme="minorHAnsi"/>
          <w:sz w:val="24"/>
          <w:szCs w:val="24"/>
        </w:rPr>
        <w:t>Gently swirl the vial for 30 seconds (vaccine should be milky, light yellow to pale white)</w:t>
      </w:r>
      <w:r w:rsidR="009B6A27">
        <w:rPr>
          <w:rFonts w:cstheme="minorHAnsi"/>
          <w:sz w:val="24"/>
          <w:szCs w:val="24"/>
        </w:rPr>
        <w:t>.</w:t>
      </w:r>
      <w:r w:rsidRPr="00216F6F">
        <w:rPr>
          <w:rFonts w:cstheme="minorHAnsi"/>
          <w:sz w:val="24"/>
          <w:szCs w:val="24"/>
        </w:rPr>
        <w:t xml:space="preserve"> </w:t>
      </w:r>
    </w:p>
    <w:p w:rsidR="00510B40" w:rsidRPr="00216F6F" w:rsidRDefault="00510B40" w:rsidP="00510B40">
      <w:pPr>
        <w:pStyle w:val="ListParagraph"/>
        <w:numPr>
          <w:ilvl w:val="1"/>
          <w:numId w:val="5"/>
        </w:numPr>
        <w:rPr>
          <w:rFonts w:cstheme="minorHAnsi"/>
          <w:sz w:val="24"/>
          <w:szCs w:val="24"/>
        </w:rPr>
      </w:pPr>
      <w:r w:rsidRPr="00216F6F">
        <w:rPr>
          <w:rFonts w:cstheme="minorHAnsi"/>
          <w:sz w:val="24"/>
          <w:szCs w:val="24"/>
        </w:rPr>
        <w:t>If any particulates or discoloration are noted –</w:t>
      </w:r>
      <w:r w:rsidR="009B6A27">
        <w:rPr>
          <w:rFonts w:cstheme="minorHAnsi"/>
          <w:sz w:val="24"/>
          <w:szCs w:val="24"/>
        </w:rPr>
        <w:t xml:space="preserve"> </w:t>
      </w:r>
      <w:r w:rsidRPr="00216F6F">
        <w:rPr>
          <w:rFonts w:cstheme="minorHAnsi"/>
          <w:sz w:val="24"/>
          <w:szCs w:val="24"/>
        </w:rPr>
        <w:t>do not use</w:t>
      </w:r>
      <w:r w:rsidR="009B6A27">
        <w:rPr>
          <w:rFonts w:cstheme="minorHAnsi"/>
          <w:sz w:val="24"/>
          <w:szCs w:val="24"/>
        </w:rPr>
        <w:t>.</w:t>
      </w:r>
    </w:p>
    <w:p w:rsidR="00510B40" w:rsidRPr="00216F6F" w:rsidRDefault="00510B40" w:rsidP="00510B40">
      <w:pPr>
        <w:pStyle w:val="ListParagraph"/>
        <w:numPr>
          <w:ilvl w:val="0"/>
          <w:numId w:val="5"/>
        </w:numPr>
        <w:rPr>
          <w:rFonts w:cstheme="minorHAnsi"/>
          <w:sz w:val="24"/>
          <w:szCs w:val="24"/>
        </w:rPr>
      </w:pPr>
      <w:r w:rsidRPr="00216F6F">
        <w:rPr>
          <w:rFonts w:cstheme="minorHAnsi"/>
          <w:sz w:val="24"/>
          <w:szCs w:val="24"/>
        </w:rPr>
        <w:t>Remove the cap</w:t>
      </w:r>
      <w:r w:rsidR="009B6A27">
        <w:rPr>
          <w:rFonts w:cstheme="minorHAnsi"/>
          <w:sz w:val="24"/>
          <w:szCs w:val="24"/>
        </w:rPr>
        <w:t>.</w:t>
      </w:r>
      <w:r w:rsidRPr="00216F6F">
        <w:rPr>
          <w:rFonts w:cstheme="minorHAnsi"/>
          <w:sz w:val="24"/>
          <w:szCs w:val="24"/>
        </w:rPr>
        <w:t xml:space="preserve"> </w:t>
      </w:r>
    </w:p>
    <w:p w:rsidR="00510B40" w:rsidRPr="00216F6F" w:rsidRDefault="00510B40" w:rsidP="00510B40">
      <w:pPr>
        <w:pStyle w:val="ListParagraph"/>
        <w:numPr>
          <w:ilvl w:val="0"/>
          <w:numId w:val="5"/>
        </w:numPr>
        <w:rPr>
          <w:rFonts w:cstheme="minorHAnsi"/>
          <w:sz w:val="24"/>
          <w:szCs w:val="24"/>
        </w:rPr>
      </w:pPr>
      <w:r w:rsidRPr="00216F6F">
        <w:rPr>
          <w:rFonts w:cstheme="minorHAnsi"/>
          <w:sz w:val="24"/>
          <w:szCs w:val="24"/>
        </w:rPr>
        <w:t>Clean off the top of the vial with an alcohol wipe</w:t>
      </w:r>
      <w:r w:rsidR="009B6A27">
        <w:rPr>
          <w:rFonts w:cstheme="minorHAnsi"/>
          <w:sz w:val="24"/>
          <w:szCs w:val="24"/>
        </w:rPr>
        <w:t>.</w:t>
      </w:r>
      <w:r w:rsidRPr="00216F6F">
        <w:rPr>
          <w:rFonts w:cstheme="minorHAnsi"/>
          <w:sz w:val="24"/>
          <w:szCs w:val="24"/>
        </w:rPr>
        <w:t xml:space="preserve"> </w:t>
      </w:r>
    </w:p>
    <w:p w:rsidR="00510B40" w:rsidRPr="00216F6F" w:rsidRDefault="00510B40" w:rsidP="00510B40">
      <w:pPr>
        <w:pStyle w:val="ListParagraph"/>
        <w:numPr>
          <w:ilvl w:val="0"/>
          <w:numId w:val="5"/>
        </w:numPr>
        <w:rPr>
          <w:rFonts w:cstheme="minorHAnsi"/>
          <w:sz w:val="24"/>
          <w:szCs w:val="24"/>
        </w:rPr>
      </w:pPr>
      <w:r w:rsidRPr="00216F6F">
        <w:rPr>
          <w:rFonts w:cstheme="minorHAnsi"/>
          <w:sz w:val="24"/>
          <w:szCs w:val="24"/>
        </w:rPr>
        <w:t>Using a 1 or 3 cc syringe with a 5/8</w:t>
      </w:r>
      <w:proofErr w:type="gramStart"/>
      <w:r w:rsidRPr="00216F6F">
        <w:rPr>
          <w:rFonts w:cstheme="minorHAnsi"/>
          <w:sz w:val="24"/>
          <w:szCs w:val="24"/>
        </w:rPr>
        <w:t>”  23</w:t>
      </w:r>
      <w:proofErr w:type="gramEnd"/>
      <w:r w:rsidRPr="00216F6F">
        <w:rPr>
          <w:rFonts w:cstheme="minorHAnsi"/>
          <w:sz w:val="24"/>
          <w:szCs w:val="24"/>
        </w:rPr>
        <w:t>-25 gauge needle</w:t>
      </w:r>
      <w:r w:rsidR="009B6A27">
        <w:rPr>
          <w:rFonts w:cstheme="minorHAnsi"/>
          <w:sz w:val="24"/>
          <w:szCs w:val="24"/>
        </w:rPr>
        <w:t>.</w:t>
      </w:r>
      <w:r w:rsidRPr="00216F6F">
        <w:rPr>
          <w:rFonts w:cstheme="minorHAnsi"/>
          <w:sz w:val="24"/>
          <w:szCs w:val="24"/>
        </w:rPr>
        <w:t xml:space="preserve">  </w:t>
      </w:r>
    </w:p>
    <w:p w:rsidR="00510B40" w:rsidRPr="00216F6F" w:rsidRDefault="00510B40" w:rsidP="00510B40">
      <w:pPr>
        <w:pStyle w:val="ListParagraph"/>
        <w:numPr>
          <w:ilvl w:val="0"/>
          <w:numId w:val="5"/>
        </w:numPr>
        <w:rPr>
          <w:rFonts w:cstheme="minorHAnsi"/>
          <w:sz w:val="24"/>
          <w:szCs w:val="24"/>
        </w:rPr>
      </w:pPr>
      <w:r w:rsidRPr="00216F6F">
        <w:rPr>
          <w:rFonts w:cstheme="minorHAnsi"/>
          <w:sz w:val="24"/>
          <w:szCs w:val="24"/>
        </w:rPr>
        <w:t>Withdraw 0.5mL the vaccine</w:t>
      </w:r>
      <w:r w:rsidR="009B6A27">
        <w:rPr>
          <w:rFonts w:cstheme="minorHAnsi"/>
          <w:sz w:val="24"/>
          <w:szCs w:val="24"/>
        </w:rPr>
        <w:t>.</w:t>
      </w:r>
      <w:r w:rsidRPr="00216F6F">
        <w:rPr>
          <w:rFonts w:cstheme="minorHAnsi"/>
          <w:sz w:val="24"/>
          <w:szCs w:val="24"/>
        </w:rPr>
        <w:t xml:space="preserve"> </w:t>
      </w:r>
    </w:p>
    <w:p w:rsidR="00510B40" w:rsidRPr="00216F6F" w:rsidRDefault="00510B40" w:rsidP="00510B40">
      <w:pPr>
        <w:pStyle w:val="ListParagraph"/>
        <w:numPr>
          <w:ilvl w:val="0"/>
          <w:numId w:val="5"/>
        </w:numPr>
        <w:rPr>
          <w:rFonts w:cstheme="minorHAnsi"/>
          <w:sz w:val="24"/>
          <w:szCs w:val="24"/>
        </w:rPr>
      </w:pPr>
      <w:r w:rsidRPr="00216F6F">
        <w:rPr>
          <w:rFonts w:cstheme="minorHAnsi"/>
          <w:sz w:val="24"/>
          <w:szCs w:val="24"/>
        </w:rPr>
        <w:t>Discard the remaining vaccine in the vial in a sharps container</w:t>
      </w:r>
      <w:r w:rsidR="009B6A27">
        <w:rPr>
          <w:rFonts w:cstheme="minorHAnsi"/>
          <w:sz w:val="24"/>
          <w:szCs w:val="24"/>
        </w:rPr>
        <w:t>.</w:t>
      </w:r>
    </w:p>
    <w:p w:rsidR="00404594" w:rsidRPr="00216F6F" w:rsidRDefault="00404594" w:rsidP="00404594">
      <w:pPr>
        <w:pStyle w:val="ListParagraph"/>
        <w:ind w:left="2520"/>
        <w:rPr>
          <w:sz w:val="24"/>
          <w:szCs w:val="24"/>
        </w:rPr>
      </w:pPr>
    </w:p>
    <w:p w:rsidR="001B1C5B" w:rsidRPr="00216F6F" w:rsidRDefault="001B1C5B" w:rsidP="001B1C5B">
      <w:pPr>
        <w:pStyle w:val="ListParagraph"/>
        <w:numPr>
          <w:ilvl w:val="0"/>
          <w:numId w:val="2"/>
        </w:numPr>
        <w:rPr>
          <w:sz w:val="24"/>
          <w:szCs w:val="24"/>
        </w:rPr>
      </w:pPr>
      <w:bookmarkStart w:id="0" w:name="_GoBack"/>
      <w:bookmarkEnd w:id="0"/>
      <w:r w:rsidRPr="00216F6F">
        <w:rPr>
          <w:sz w:val="24"/>
          <w:szCs w:val="24"/>
        </w:rPr>
        <w:t xml:space="preserve">Administer the Vaccine </w:t>
      </w:r>
    </w:p>
    <w:tbl>
      <w:tblPr>
        <w:tblStyle w:val="TableGrid"/>
        <w:tblW w:w="0" w:type="auto"/>
        <w:tblInd w:w="1080" w:type="dxa"/>
        <w:tblLook w:val="04A0" w:firstRow="1" w:lastRow="0" w:firstColumn="1" w:lastColumn="0" w:noHBand="0" w:noVBand="1"/>
      </w:tblPr>
      <w:tblGrid>
        <w:gridCol w:w="2155"/>
        <w:gridCol w:w="1080"/>
        <w:gridCol w:w="2520"/>
        <w:gridCol w:w="2515"/>
      </w:tblGrid>
      <w:tr w:rsidR="00510B40" w:rsidRPr="00216F6F" w:rsidTr="00510B40">
        <w:tc>
          <w:tcPr>
            <w:tcW w:w="2155" w:type="dxa"/>
          </w:tcPr>
          <w:p w:rsidR="00510B40" w:rsidRPr="00216F6F" w:rsidRDefault="00510B40" w:rsidP="00510B40">
            <w:pPr>
              <w:rPr>
                <w:b/>
                <w:sz w:val="24"/>
                <w:szCs w:val="24"/>
              </w:rPr>
            </w:pPr>
            <w:r w:rsidRPr="00216F6F">
              <w:rPr>
                <w:b/>
                <w:sz w:val="24"/>
                <w:szCs w:val="24"/>
              </w:rPr>
              <w:t>Age Group</w:t>
            </w:r>
          </w:p>
        </w:tc>
        <w:tc>
          <w:tcPr>
            <w:tcW w:w="1080" w:type="dxa"/>
          </w:tcPr>
          <w:p w:rsidR="00510B40" w:rsidRPr="00216F6F" w:rsidRDefault="00510B40" w:rsidP="00510B40">
            <w:pPr>
              <w:rPr>
                <w:b/>
                <w:sz w:val="24"/>
                <w:szCs w:val="24"/>
              </w:rPr>
            </w:pPr>
            <w:r w:rsidRPr="00216F6F">
              <w:rPr>
                <w:b/>
                <w:sz w:val="24"/>
                <w:szCs w:val="24"/>
              </w:rPr>
              <w:t>Dose</w:t>
            </w:r>
          </w:p>
        </w:tc>
        <w:tc>
          <w:tcPr>
            <w:tcW w:w="2520" w:type="dxa"/>
          </w:tcPr>
          <w:p w:rsidR="00510B40" w:rsidRPr="00216F6F" w:rsidRDefault="00510B40" w:rsidP="00510B40">
            <w:pPr>
              <w:rPr>
                <w:b/>
                <w:sz w:val="24"/>
                <w:szCs w:val="24"/>
              </w:rPr>
            </w:pPr>
            <w:r w:rsidRPr="00216F6F">
              <w:rPr>
                <w:b/>
                <w:sz w:val="24"/>
                <w:szCs w:val="24"/>
              </w:rPr>
              <w:t>Route</w:t>
            </w:r>
          </w:p>
        </w:tc>
        <w:tc>
          <w:tcPr>
            <w:tcW w:w="2515" w:type="dxa"/>
          </w:tcPr>
          <w:p w:rsidR="00510B40" w:rsidRPr="00216F6F" w:rsidRDefault="00510B40" w:rsidP="00510B40">
            <w:pPr>
              <w:rPr>
                <w:b/>
                <w:sz w:val="24"/>
                <w:szCs w:val="24"/>
              </w:rPr>
            </w:pPr>
            <w:r w:rsidRPr="00216F6F">
              <w:rPr>
                <w:b/>
                <w:sz w:val="24"/>
                <w:szCs w:val="24"/>
              </w:rPr>
              <w:t xml:space="preserve">Instructions </w:t>
            </w:r>
          </w:p>
        </w:tc>
      </w:tr>
      <w:tr w:rsidR="00510B40" w:rsidRPr="00216F6F" w:rsidTr="00510B40">
        <w:tc>
          <w:tcPr>
            <w:tcW w:w="2155" w:type="dxa"/>
          </w:tcPr>
          <w:p w:rsidR="00510B40" w:rsidRPr="00216F6F" w:rsidRDefault="00510B40" w:rsidP="00510B40">
            <w:pPr>
              <w:rPr>
                <w:sz w:val="24"/>
                <w:szCs w:val="24"/>
              </w:rPr>
            </w:pPr>
            <w:r w:rsidRPr="00216F6F">
              <w:rPr>
                <w:sz w:val="24"/>
                <w:szCs w:val="24"/>
              </w:rPr>
              <w:t>18 years and older</w:t>
            </w:r>
          </w:p>
        </w:tc>
        <w:tc>
          <w:tcPr>
            <w:tcW w:w="1080" w:type="dxa"/>
          </w:tcPr>
          <w:p w:rsidR="00510B40" w:rsidRPr="00216F6F" w:rsidRDefault="00510B40" w:rsidP="00510B40">
            <w:pPr>
              <w:rPr>
                <w:sz w:val="24"/>
                <w:szCs w:val="24"/>
              </w:rPr>
            </w:pPr>
            <w:r w:rsidRPr="00216F6F">
              <w:rPr>
                <w:sz w:val="24"/>
                <w:szCs w:val="24"/>
              </w:rPr>
              <w:t>0.5mL</w:t>
            </w:r>
          </w:p>
        </w:tc>
        <w:tc>
          <w:tcPr>
            <w:tcW w:w="2520" w:type="dxa"/>
          </w:tcPr>
          <w:p w:rsidR="00510B40" w:rsidRPr="00216F6F" w:rsidRDefault="00510B40" w:rsidP="00510B40">
            <w:pPr>
              <w:rPr>
                <w:sz w:val="24"/>
                <w:szCs w:val="24"/>
              </w:rPr>
            </w:pPr>
            <w:r w:rsidRPr="00216F6F">
              <w:rPr>
                <w:sz w:val="24"/>
                <w:szCs w:val="24"/>
              </w:rPr>
              <w:t xml:space="preserve">Subcutaneous injection </w:t>
            </w:r>
          </w:p>
        </w:tc>
        <w:tc>
          <w:tcPr>
            <w:tcW w:w="2515" w:type="dxa"/>
          </w:tcPr>
          <w:p w:rsidR="00510B40" w:rsidRPr="00216F6F" w:rsidRDefault="00510B40" w:rsidP="00510B40">
            <w:pPr>
              <w:rPr>
                <w:sz w:val="24"/>
                <w:szCs w:val="24"/>
              </w:rPr>
            </w:pPr>
            <w:r w:rsidRPr="00216F6F">
              <w:rPr>
                <w:sz w:val="24"/>
                <w:szCs w:val="24"/>
              </w:rPr>
              <w:t xml:space="preserve">Administer dose 1 and 2 at least 28 days apart </w:t>
            </w:r>
          </w:p>
        </w:tc>
      </w:tr>
    </w:tbl>
    <w:p w:rsidR="00510B40" w:rsidRPr="00216F6F" w:rsidRDefault="00510B40" w:rsidP="00510B40">
      <w:pPr>
        <w:ind w:left="1080"/>
        <w:rPr>
          <w:sz w:val="24"/>
          <w:szCs w:val="24"/>
        </w:rPr>
      </w:pPr>
    </w:p>
    <w:p w:rsidR="001B1C5B" w:rsidRPr="00216F6F" w:rsidRDefault="001B1C5B" w:rsidP="001B1C5B">
      <w:pPr>
        <w:pStyle w:val="ListParagraph"/>
        <w:numPr>
          <w:ilvl w:val="0"/>
          <w:numId w:val="2"/>
        </w:numPr>
        <w:rPr>
          <w:sz w:val="24"/>
          <w:szCs w:val="24"/>
        </w:rPr>
      </w:pPr>
      <w:r w:rsidRPr="00216F6F">
        <w:rPr>
          <w:sz w:val="24"/>
          <w:szCs w:val="24"/>
        </w:rPr>
        <w:t xml:space="preserve">Document </w:t>
      </w:r>
    </w:p>
    <w:p w:rsidR="001B1C5B" w:rsidRPr="00216F6F" w:rsidRDefault="001B1C5B" w:rsidP="001B1C5B">
      <w:pPr>
        <w:pStyle w:val="ListParagraph"/>
        <w:numPr>
          <w:ilvl w:val="1"/>
          <w:numId w:val="2"/>
        </w:numPr>
        <w:rPr>
          <w:sz w:val="24"/>
          <w:szCs w:val="24"/>
        </w:rPr>
      </w:pPr>
      <w:r w:rsidRPr="00216F6F">
        <w:rPr>
          <w:sz w:val="24"/>
          <w:szCs w:val="24"/>
        </w:rPr>
        <w:t xml:space="preserve">Consent Form: Record the date the vaccine </w:t>
      </w:r>
      <w:proofErr w:type="gramStart"/>
      <w:r w:rsidRPr="00216F6F">
        <w:rPr>
          <w:sz w:val="24"/>
          <w:szCs w:val="24"/>
        </w:rPr>
        <w:t>was administered</w:t>
      </w:r>
      <w:proofErr w:type="gramEnd"/>
      <w:r w:rsidRPr="00216F6F">
        <w:rPr>
          <w:sz w:val="24"/>
          <w:szCs w:val="24"/>
        </w:rPr>
        <w:t>, the manufacturer and lot number, the vaccination site and route, the vaccine dosage, and the name and title of the person administering the vaccine. Document the VIS given, and VIS publication date.</w:t>
      </w:r>
    </w:p>
    <w:p w:rsidR="001B1C5B" w:rsidRPr="00216F6F" w:rsidRDefault="001B1C5B" w:rsidP="001B1C5B">
      <w:pPr>
        <w:pStyle w:val="ListParagraph"/>
        <w:numPr>
          <w:ilvl w:val="1"/>
          <w:numId w:val="2"/>
        </w:numPr>
        <w:rPr>
          <w:sz w:val="24"/>
          <w:szCs w:val="24"/>
        </w:rPr>
      </w:pPr>
      <w:r w:rsidRPr="00216F6F">
        <w:rPr>
          <w:sz w:val="24"/>
          <w:szCs w:val="24"/>
        </w:rPr>
        <w:t xml:space="preserve">Immunization Record Card: </w:t>
      </w:r>
      <w:r w:rsidR="009B6A27">
        <w:rPr>
          <w:sz w:val="24"/>
          <w:szCs w:val="24"/>
        </w:rPr>
        <w:t xml:space="preserve">Record the date of vaccination </w:t>
      </w:r>
      <w:r w:rsidRPr="00216F6F">
        <w:rPr>
          <w:sz w:val="24"/>
          <w:szCs w:val="24"/>
        </w:rPr>
        <w:t>and the name/location of the administering clinic and supply to recipient at time of vaccination.</w:t>
      </w:r>
    </w:p>
    <w:p w:rsidR="001B1C5B" w:rsidRPr="00216F6F" w:rsidRDefault="001B1C5B" w:rsidP="001B1C5B">
      <w:pPr>
        <w:pStyle w:val="ListParagraph"/>
        <w:numPr>
          <w:ilvl w:val="1"/>
          <w:numId w:val="2"/>
        </w:numPr>
        <w:rPr>
          <w:sz w:val="24"/>
          <w:szCs w:val="24"/>
        </w:rPr>
      </w:pPr>
      <w:r w:rsidRPr="00216F6F">
        <w:rPr>
          <w:sz w:val="24"/>
          <w:szCs w:val="24"/>
        </w:rPr>
        <w:lastRenderedPageBreak/>
        <w:t>Documentation of the vaccination in Missouri’s immunization information system</w:t>
      </w:r>
      <w:r w:rsidR="008267F1">
        <w:rPr>
          <w:sz w:val="24"/>
          <w:szCs w:val="24"/>
        </w:rPr>
        <w:t>,</w:t>
      </w:r>
      <w:r w:rsidRPr="00216F6F">
        <w:rPr>
          <w:sz w:val="24"/>
          <w:szCs w:val="24"/>
        </w:rPr>
        <w:t xml:space="preserve"> </w:t>
      </w:r>
      <w:proofErr w:type="spellStart"/>
      <w:r w:rsidRPr="00216F6F">
        <w:rPr>
          <w:sz w:val="24"/>
          <w:szCs w:val="24"/>
        </w:rPr>
        <w:t>ShowMeVax</w:t>
      </w:r>
      <w:proofErr w:type="spellEnd"/>
      <w:r w:rsidR="008267F1">
        <w:rPr>
          <w:sz w:val="24"/>
          <w:szCs w:val="24"/>
        </w:rPr>
        <w:t>,</w:t>
      </w:r>
      <w:r w:rsidRPr="00216F6F">
        <w:rPr>
          <w:sz w:val="24"/>
          <w:szCs w:val="24"/>
        </w:rPr>
        <w:t xml:space="preserve"> within 24-48 hours following vaccination</w:t>
      </w:r>
      <w:r w:rsidR="008267F1">
        <w:rPr>
          <w:sz w:val="24"/>
          <w:szCs w:val="24"/>
        </w:rPr>
        <w:t>.</w:t>
      </w:r>
      <w:r w:rsidRPr="00216F6F">
        <w:rPr>
          <w:sz w:val="24"/>
          <w:szCs w:val="24"/>
        </w:rPr>
        <w:t xml:space="preserve"> </w:t>
      </w:r>
    </w:p>
    <w:p w:rsidR="001B1C5B" w:rsidRPr="00216F6F" w:rsidRDefault="001B1C5B" w:rsidP="001B1C5B">
      <w:pPr>
        <w:pStyle w:val="ListParagraph"/>
        <w:ind w:left="1800"/>
        <w:rPr>
          <w:sz w:val="24"/>
          <w:szCs w:val="24"/>
        </w:rPr>
      </w:pPr>
    </w:p>
    <w:p w:rsidR="001B1C5B" w:rsidRPr="00216F6F" w:rsidRDefault="001B1C5B" w:rsidP="001B1C5B">
      <w:pPr>
        <w:pStyle w:val="ListParagraph"/>
        <w:numPr>
          <w:ilvl w:val="0"/>
          <w:numId w:val="2"/>
        </w:numPr>
        <w:rPr>
          <w:sz w:val="24"/>
          <w:szCs w:val="24"/>
        </w:rPr>
      </w:pPr>
      <w:r w:rsidRPr="00216F6F">
        <w:rPr>
          <w:sz w:val="24"/>
          <w:szCs w:val="24"/>
        </w:rPr>
        <w:t xml:space="preserve">Emergency Protocols </w:t>
      </w:r>
    </w:p>
    <w:p w:rsidR="001B1C5B" w:rsidRPr="00216F6F" w:rsidRDefault="001B1C5B" w:rsidP="001B1C5B">
      <w:pPr>
        <w:pStyle w:val="ListParagraph"/>
        <w:numPr>
          <w:ilvl w:val="1"/>
          <w:numId w:val="2"/>
        </w:numPr>
        <w:rPr>
          <w:sz w:val="24"/>
          <w:szCs w:val="24"/>
        </w:rPr>
      </w:pPr>
      <w:r w:rsidRPr="00216F6F">
        <w:rPr>
          <w:sz w:val="24"/>
          <w:szCs w:val="24"/>
        </w:rPr>
        <w:t xml:space="preserve">If a patient experiences itching and swelling confined to the injection site where the vaccination </w:t>
      </w:r>
      <w:proofErr w:type="gramStart"/>
      <w:r w:rsidRPr="00216F6F">
        <w:rPr>
          <w:sz w:val="24"/>
          <w:szCs w:val="24"/>
        </w:rPr>
        <w:t>was given</w:t>
      </w:r>
      <w:proofErr w:type="gramEnd"/>
      <w:r w:rsidRPr="00216F6F">
        <w:rPr>
          <w:sz w:val="24"/>
          <w:szCs w:val="24"/>
        </w:rPr>
        <w:t>, apply a cold compress to the injection site.  Observe patient closely for the development of generalized symptoms until symptoms subside.</w:t>
      </w:r>
    </w:p>
    <w:p w:rsidR="001B1C5B" w:rsidRPr="00216F6F" w:rsidRDefault="001B1C5B" w:rsidP="001B1C5B">
      <w:pPr>
        <w:pStyle w:val="ListParagraph"/>
        <w:numPr>
          <w:ilvl w:val="1"/>
          <w:numId w:val="2"/>
        </w:numPr>
        <w:rPr>
          <w:sz w:val="24"/>
          <w:szCs w:val="24"/>
        </w:rPr>
      </w:pPr>
      <w:r w:rsidRPr="00216F6F">
        <w:rPr>
          <w:sz w:val="24"/>
          <w:szCs w:val="24"/>
        </w:rPr>
        <w:t xml:space="preserve">If symptoms </w:t>
      </w:r>
      <w:proofErr w:type="gramStart"/>
      <w:r w:rsidRPr="00216F6F">
        <w:rPr>
          <w:sz w:val="24"/>
          <w:szCs w:val="24"/>
        </w:rPr>
        <w:t>are generalized</w:t>
      </w:r>
      <w:proofErr w:type="gramEnd"/>
      <w:r w:rsidRPr="00216F6F">
        <w:rPr>
          <w:sz w:val="24"/>
          <w:szCs w:val="24"/>
        </w:rPr>
        <w:t xml:space="preserve"> (generalized itching, redness, urticaria (hives); or include angioedema (swelling of the lips, face, or throat); shortness of breath; shock; or abdominal cramping; call 911 and notify the patient’s physician.  </w:t>
      </w:r>
      <w:proofErr w:type="gramStart"/>
      <w:r w:rsidRPr="00216F6F">
        <w:rPr>
          <w:sz w:val="24"/>
          <w:szCs w:val="24"/>
        </w:rPr>
        <w:t>Notifications should be done by a second person</w:t>
      </w:r>
      <w:proofErr w:type="gramEnd"/>
      <w:r w:rsidRPr="00216F6F">
        <w:rPr>
          <w:sz w:val="24"/>
          <w:szCs w:val="24"/>
        </w:rPr>
        <w:t xml:space="preserve"> while the primary healthcare professional assesses the airway, breathing, circulation and level of consciousness of the patient.  Vital signs (heart rate, respirations and Blood Pressure, pulse ox) </w:t>
      </w:r>
      <w:proofErr w:type="gramStart"/>
      <w:r w:rsidRPr="00216F6F">
        <w:rPr>
          <w:sz w:val="24"/>
          <w:szCs w:val="24"/>
        </w:rPr>
        <w:t>should be taken</w:t>
      </w:r>
      <w:proofErr w:type="gramEnd"/>
      <w:r w:rsidRPr="00216F6F">
        <w:rPr>
          <w:sz w:val="24"/>
          <w:szCs w:val="24"/>
        </w:rPr>
        <w:t xml:space="preserve"> every 5 minutes. </w:t>
      </w:r>
    </w:p>
    <w:p w:rsidR="001B1C5B" w:rsidRPr="00216F6F" w:rsidRDefault="001B1C5B" w:rsidP="001B1C5B">
      <w:pPr>
        <w:pStyle w:val="ListParagraph"/>
        <w:numPr>
          <w:ilvl w:val="2"/>
          <w:numId w:val="2"/>
        </w:numPr>
        <w:rPr>
          <w:sz w:val="24"/>
          <w:szCs w:val="24"/>
        </w:rPr>
      </w:pPr>
      <w:r w:rsidRPr="00216F6F">
        <w:rPr>
          <w:sz w:val="24"/>
          <w:szCs w:val="24"/>
        </w:rPr>
        <w:t>First-line treatment of an anaphylactic reaction is to administer Epinephrine 1:1000 dilution intramuscularly adult dose 0.3ml to 0.5ml with maximum dose of 0.5ml; or</w:t>
      </w:r>
    </w:p>
    <w:p w:rsidR="001B1C5B" w:rsidRPr="00216F6F" w:rsidRDefault="001B1C5B" w:rsidP="001B1C5B">
      <w:pPr>
        <w:pStyle w:val="ListParagraph"/>
        <w:numPr>
          <w:ilvl w:val="2"/>
          <w:numId w:val="2"/>
        </w:numPr>
        <w:rPr>
          <w:sz w:val="24"/>
          <w:szCs w:val="24"/>
        </w:rPr>
      </w:pPr>
      <w:r w:rsidRPr="00216F6F">
        <w:rPr>
          <w:sz w:val="24"/>
          <w:szCs w:val="24"/>
        </w:rPr>
        <w:t>To administer Epinephrine auto-injector (0.3ml)</w:t>
      </w:r>
      <w:r w:rsidR="008267F1">
        <w:rPr>
          <w:sz w:val="24"/>
          <w:szCs w:val="24"/>
        </w:rPr>
        <w:t>.</w:t>
      </w:r>
    </w:p>
    <w:p w:rsidR="001B1C5B" w:rsidRPr="00216F6F" w:rsidRDefault="001B1C5B" w:rsidP="001B1C5B">
      <w:pPr>
        <w:pStyle w:val="ListParagraph"/>
        <w:numPr>
          <w:ilvl w:val="2"/>
          <w:numId w:val="2"/>
        </w:numPr>
        <w:rPr>
          <w:sz w:val="24"/>
          <w:szCs w:val="24"/>
        </w:rPr>
      </w:pPr>
      <w:r w:rsidRPr="00216F6F">
        <w:rPr>
          <w:sz w:val="24"/>
          <w:szCs w:val="24"/>
        </w:rPr>
        <w:t>For hives or itching, you may also administer diphenhydramine (orally or intramuscular with a standard dose of 25-50mg.) or hydroxyzine (standard oral dose is 25mg -100mg or 0.5-1.0 mg/kg.</w:t>
      </w:r>
      <w:r w:rsidRPr="00216F6F">
        <w:rPr>
          <w:sz w:val="24"/>
          <w:szCs w:val="24"/>
        </w:rPr>
        <w:tab/>
      </w:r>
    </w:p>
    <w:p w:rsidR="001B1C5B" w:rsidRPr="00216F6F" w:rsidRDefault="001B1C5B" w:rsidP="001B1C5B">
      <w:pPr>
        <w:pStyle w:val="ListParagraph"/>
        <w:numPr>
          <w:ilvl w:val="2"/>
          <w:numId w:val="2"/>
        </w:numPr>
        <w:rPr>
          <w:sz w:val="24"/>
          <w:szCs w:val="24"/>
        </w:rPr>
      </w:pPr>
      <w:r w:rsidRPr="00216F6F">
        <w:rPr>
          <w:sz w:val="24"/>
          <w:szCs w:val="24"/>
        </w:rPr>
        <w:t>Monitor the patient closely until EMS arrives.  Monitor blood pressure and pulse every 5 minutes.</w:t>
      </w:r>
    </w:p>
    <w:p w:rsidR="001B1C5B" w:rsidRPr="00216F6F" w:rsidRDefault="001B1C5B" w:rsidP="001B1C5B">
      <w:pPr>
        <w:pStyle w:val="ListParagraph"/>
        <w:numPr>
          <w:ilvl w:val="2"/>
          <w:numId w:val="2"/>
        </w:numPr>
        <w:rPr>
          <w:sz w:val="24"/>
          <w:szCs w:val="24"/>
        </w:rPr>
      </w:pPr>
      <w:r w:rsidRPr="00216F6F">
        <w:rPr>
          <w:sz w:val="24"/>
          <w:szCs w:val="24"/>
        </w:rPr>
        <w:t xml:space="preserve">If EMS has not arrived and symptoms are still present, repeat dose of epinephrine every 5-15 minutes for up to </w:t>
      </w:r>
      <w:proofErr w:type="gramStart"/>
      <w:r w:rsidRPr="00216F6F">
        <w:rPr>
          <w:sz w:val="24"/>
          <w:szCs w:val="24"/>
        </w:rPr>
        <w:t>3</w:t>
      </w:r>
      <w:proofErr w:type="gramEnd"/>
      <w:r w:rsidRPr="00216F6F">
        <w:rPr>
          <w:sz w:val="24"/>
          <w:szCs w:val="24"/>
        </w:rPr>
        <w:t xml:space="preserve"> doses depending on patient’s response.</w:t>
      </w:r>
    </w:p>
    <w:p w:rsidR="001B1C5B" w:rsidRPr="00216F6F" w:rsidRDefault="001B1C5B" w:rsidP="001B1C5B">
      <w:pPr>
        <w:pStyle w:val="ListParagraph"/>
        <w:numPr>
          <w:ilvl w:val="2"/>
          <w:numId w:val="2"/>
        </w:numPr>
        <w:rPr>
          <w:sz w:val="24"/>
          <w:szCs w:val="24"/>
        </w:rPr>
      </w:pPr>
      <w:r w:rsidRPr="00216F6F">
        <w:rPr>
          <w:sz w:val="24"/>
          <w:szCs w:val="24"/>
        </w:rPr>
        <w:t xml:space="preserve">Record the patient’s reaction to the vaccine (e.g., hives, anaphylaxis), all vital signs, and medications administered to the patient, including time dosage, response, and the name of the medical personnel who administered the medication and other relevant clinical information.  </w:t>
      </w:r>
    </w:p>
    <w:p w:rsidR="001B1C5B" w:rsidRPr="00216F6F" w:rsidRDefault="001B1C5B" w:rsidP="001B1C5B">
      <w:pPr>
        <w:pStyle w:val="ListParagraph"/>
        <w:numPr>
          <w:ilvl w:val="2"/>
          <w:numId w:val="2"/>
        </w:numPr>
        <w:rPr>
          <w:sz w:val="24"/>
          <w:szCs w:val="24"/>
        </w:rPr>
      </w:pPr>
      <w:r w:rsidRPr="00216F6F">
        <w:rPr>
          <w:sz w:val="24"/>
          <w:szCs w:val="24"/>
        </w:rPr>
        <w:t>Notify the patient’s primary care physician.</w:t>
      </w:r>
    </w:p>
    <w:p w:rsidR="003922C0" w:rsidRPr="00216F6F" w:rsidRDefault="003922C0" w:rsidP="001B1C5B">
      <w:pPr>
        <w:pStyle w:val="ListParagraph"/>
        <w:numPr>
          <w:ilvl w:val="2"/>
          <w:numId w:val="2"/>
        </w:numPr>
        <w:rPr>
          <w:sz w:val="24"/>
          <w:szCs w:val="24"/>
        </w:rPr>
      </w:pPr>
      <w:r w:rsidRPr="00216F6F">
        <w:rPr>
          <w:sz w:val="24"/>
          <w:szCs w:val="24"/>
        </w:rPr>
        <w:t xml:space="preserve">Report any adverse event or vaccine error to VAERS. Report the incident to the Vaccine Adverse Event Reporting System (VAERS) at </w:t>
      </w:r>
      <w:hyperlink r:id="rId12" w:history="1">
        <w:r w:rsidRPr="00216F6F">
          <w:rPr>
            <w:rStyle w:val="Hyperlink"/>
            <w:sz w:val="24"/>
            <w:szCs w:val="24"/>
          </w:rPr>
          <w:t>https://vaers.hhs.gov/reportevent.html</w:t>
        </w:r>
      </w:hyperlink>
      <w:r w:rsidRPr="00216F6F">
        <w:rPr>
          <w:sz w:val="24"/>
          <w:szCs w:val="24"/>
        </w:rPr>
        <w:t xml:space="preserve"> or call 1-800-822-7967.</w:t>
      </w:r>
    </w:p>
    <w:p w:rsidR="00896537" w:rsidRPr="00216F6F" w:rsidRDefault="00896537" w:rsidP="0099581F">
      <w:pPr>
        <w:rPr>
          <w:sz w:val="24"/>
          <w:szCs w:val="24"/>
        </w:rPr>
      </w:pPr>
      <w:r w:rsidRPr="00216F6F">
        <w:rPr>
          <w:sz w:val="24"/>
          <w:szCs w:val="24"/>
        </w:rPr>
        <w:t>Authorization</w:t>
      </w:r>
    </w:p>
    <w:p w:rsidR="00896537" w:rsidRPr="00216F6F" w:rsidRDefault="00896537" w:rsidP="0099581F">
      <w:pPr>
        <w:rPr>
          <w:sz w:val="24"/>
          <w:szCs w:val="24"/>
        </w:rPr>
      </w:pPr>
    </w:p>
    <w:p w:rsidR="00697BD9" w:rsidRPr="00216F6F" w:rsidRDefault="00E16CF4" w:rsidP="00E16CF4">
      <w:pPr>
        <w:spacing w:after="0" w:line="240" w:lineRule="auto"/>
        <w:rPr>
          <w:sz w:val="24"/>
          <w:szCs w:val="24"/>
        </w:rPr>
      </w:pPr>
      <w:r w:rsidRPr="00216F6F">
        <w:rPr>
          <w:sz w:val="24"/>
          <w:szCs w:val="24"/>
        </w:rPr>
        <w:t>__________________________________________                                           _______________</w:t>
      </w:r>
      <w:r w:rsidR="00896537" w:rsidRPr="00216F6F">
        <w:rPr>
          <w:sz w:val="24"/>
          <w:szCs w:val="24"/>
        </w:rPr>
        <w:t xml:space="preserve"> </w:t>
      </w:r>
      <w:r w:rsidR="00216F6F">
        <w:rPr>
          <w:sz w:val="24"/>
          <w:szCs w:val="24"/>
        </w:rPr>
        <w:t xml:space="preserve">         Signature</w:t>
      </w:r>
      <w:r w:rsidRPr="00216F6F">
        <w:rPr>
          <w:sz w:val="24"/>
          <w:szCs w:val="24"/>
        </w:rPr>
        <w:t xml:space="preserve">/Name and Title </w:t>
      </w:r>
      <w:r w:rsidRPr="00216F6F">
        <w:rPr>
          <w:sz w:val="24"/>
          <w:szCs w:val="24"/>
        </w:rPr>
        <w:tab/>
      </w:r>
      <w:r w:rsidRPr="00216F6F">
        <w:rPr>
          <w:sz w:val="24"/>
          <w:szCs w:val="24"/>
        </w:rPr>
        <w:tab/>
      </w:r>
      <w:r w:rsidRPr="00216F6F">
        <w:rPr>
          <w:sz w:val="24"/>
          <w:szCs w:val="24"/>
        </w:rPr>
        <w:tab/>
      </w:r>
      <w:r w:rsidRPr="00216F6F">
        <w:rPr>
          <w:sz w:val="24"/>
          <w:szCs w:val="24"/>
        </w:rPr>
        <w:tab/>
      </w:r>
      <w:r w:rsidRPr="00216F6F">
        <w:rPr>
          <w:sz w:val="24"/>
          <w:szCs w:val="24"/>
        </w:rPr>
        <w:tab/>
      </w:r>
      <w:r w:rsidRPr="00216F6F">
        <w:rPr>
          <w:sz w:val="24"/>
          <w:szCs w:val="24"/>
        </w:rPr>
        <w:tab/>
      </w:r>
      <w:r w:rsidRPr="00216F6F">
        <w:rPr>
          <w:sz w:val="24"/>
          <w:szCs w:val="24"/>
        </w:rPr>
        <w:tab/>
        <w:t xml:space="preserve">    Date </w:t>
      </w:r>
      <w:r w:rsidRPr="00216F6F">
        <w:rPr>
          <w:sz w:val="24"/>
          <w:szCs w:val="24"/>
        </w:rPr>
        <w:tab/>
      </w:r>
    </w:p>
    <w:sectPr w:rsidR="00697BD9" w:rsidRPr="00216F6F" w:rsidSect="009B6A27">
      <w:headerReference w:type="default" r:id="rId13"/>
      <w:pgSz w:w="12240" w:h="15840"/>
      <w:pgMar w:top="1800" w:right="126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35" w:rsidRDefault="00A06B35" w:rsidP="0030607D">
      <w:pPr>
        <w:spacing w:after="0" w:line="240" w:lineRule="auto"/>
      </w:pPr>
      <w:r>
        <w:separator/>
      </w:r>
    </w:p>
  </w:endnote>
  <w:endnote w:type="continuationSeparator" w:id="0">
    <w:p w:rsidR="00A06B35" w:rsidRDefault="00A06B35" w:rsidP="0030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35" w:rsidRDefault="00A06B35" w:rsidP="0030607D">
      <w:pPr>
        <w:spacing w:after="0" w:line="240" w:lineRule="auto"/>
      </w:pPr>
      <w:r>
        <w:separator/>
      </w:r>
    </w:p>
  </w:footnote>
  <w:footnote w:type="continuationSeparator" w:id="0">
    <w:p w:rsidR="00A06B35" w:rsidRDefault="00A06B35" w:rsidP="00306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582" w:rsidRPr="008E0582" w:rsidRDefault="008E0582" w:rsidP="008E0582">
    <w:pPr>
      <w:pStyle w:val="Header"/>
      <w:jc w:val="center"/>
      <w:rPr>
        <w:rFonts w:cstheme="minorHAnsi"/>
        <w:b/>
        <w:i/>
        <w:sz w:val="28"/>
        <w:szCs w:val="28"/>
      </w:rPr>
    </w:pPr>
    <w:r w:rsidRPr="008E0582">
      <w:rPr>
        <w:rFonts w:cstheme="minorHAnsi"/>
        <w:b/>
        <w:i/>
        <w:sz w:val="28"/>
        <w:szCs w:val="28"/>
      </w:rPr>
      <w:t>JYNNEOS Vaccine Administration for Monkeypox</w:t>
    </w:r>
  </w:p>
  <w:p w:rsidR="0030607D" w:rsidRPr="008E0582" w:rsidRDefault="00216F6F" w:rsidP="008E0582">
    <w:pPr>
      <w:pStyle w:val="Header"/>
      <w:jc w:val="center"/>
    </w:pPr>
    <w:r>
      <w:rPr>
        <w:rFonts w:cstheme="minorHAnsi"/>
        <w:b/>
        <w:i/>
        <w:sz w:val="28"/>
        <w:szCs w:val="28"/>
      </w:rPr>
      <w:t>Missouri DHSS Standing Order</w:t>
    </w:r>
    <w:r w:rsidR="008267F1">
      <w:rPr>
        <w:rFonts w:cstheme="minorHAnsi"/>
        <w:b/>
        <w:i/>
        <w:sz w:val="28"/>
        <w:szCs w:val="28"/>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B0478"/>
    <w:multiLevelType w:val="hybridMultilevel"/>
    <w:tmpl w:val="3BD4C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A6562"/>
    <w:multiLevelType w:val="hybridMultilevel"/>
    <w:tmpl w:val="1DD61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0696B"/>
    <w:multiLevelType w:val="hybridMultilevel"/>
    <w:tmpl w:val="53AA3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63B8E"/>
    <w:multiLevelType w:val="hybridMultilevel"/>
    <w:tmpl w:val="DBB0ADC8"/>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FD75F51"/>
    <w:multiLevelType w:val="hybridMultilevel"/>
    <w:tmpl w:val="CF1638A4"/>
    <w:lvl w:ilvl="0" w:tplc="171E45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7D"/>
    <w:rsid w:val="0000480D"/>
    <w:rsid w:val="0018631B"/>
    <w:rsid w:val="001B1C5B"/>
    <w:rsid w:val="00216F6F"/>
    <w:rsid w:val="002E488E"/>
    <w:rsid w:val="0030607D"/>
    <w:rsid w:val="0035381F"/>
    <w:rsid w:val="003922C0"/>
    <w:rsid w:val="00404594"/>
    <w:rsid w:val="004437D3"/>
    <w:rsid w:val="00510B40"/>
    <w:rsid w:val="00581AC2"/>
    <w:rsid w:val="00697BD9"/>
    <w:rsid w:val="00710E8D"/>
    <w:rsid w:val="008267F1"/>
    <w:rsid w:val="008545FF"/>
    <w:rsid w:val="00896537"/>
    <w:rsid w:val="008E0582"/>
    <w:rsid w:val="0092298A"/>
    <w:rsid w:val="00934FFD"/>
    <w:rsid w:val="0099581F"/>
    <w:rsid w:val="009B6A27"/>
    <w:rsid w:val="009E5F46"/>
    <w:rsid w:val="00A06B35"/>
    <w:rsid w:val="00A150A9"/>
    <w:rsid w:val="00A40BEA"/>
    <w:rsid w:val="00B41A6F"/>
    <w:rsid w:val="00B44A64"/>
    <w:rsid w:val="00B915A0"/>
    <w:rsid w:val="00BE5D96"/>
    <w:rsid w:val="00D23513"/>
    <w:rsid w:val="00D25344"/>
    <w:rsid w:val="00D46688"/>
    <w:rsid w:val="00E16CF4"/>
    <w:rsid w:val="00F0667E"/>
    <w:rsid w:val="00FB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4973"/>
  <w15:chartTrackingRefBased/>
  <w15:docId w15:val="{0350B7A9-85C3-42E4-97BF-48263413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07D"/>
  </w:style>
  <w:style w:type="paragraph" w:styleId="Footer">
    <w:name w:val="footer"/>
    <w:basedOn w:val="Normal"/>
    <w:link w:val="FooterChar"/>
    <w:uiPriority w:val="99"/>
    <w:unhideWhenUsed/>
    <w:rsid w:val="003060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07D"/>
  </w:style>
  <w:style w:type="paragraph" w:styleId="ListParagraph">
    <w:name w:val="List Paragraph"/>
    <w:basedOn w:val="Normal"/>
    <w:uiPriority w:val="34"/>
    <w:qFormat/>
    <w:rsid w:val="0099581F"/>
    <w:pPr>
      <w:ind w:left="720"/>
      <w:contextualSpacing/>
    </w:pPr>
  </w:style>
  <w:style w:type="table" w:styleId="TableGrid">
    <w:name w:val="Table Grid"/>
    <w:basedOn w:val="TableNormal"/>
    <w:uiPriority w:val="39"/>
    <w:rsid w:val="001B1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1AC2"/>
    <w:rPr>
      <w:color w:val="0563C1" w:themeColor="hyperlink"/>
      <w:u w:val="single"/>
    </w:rPr>
  </w:style>
  <w:style w:type="character" w:styleId="FollowedHyperlink">
    <w:name w:val="FollowedHyperlink"/>
    <w:basedOn w:val="DefaultParagraphFont"/>
    <w:uiPriority w:val="99"/>
    <w:semiHidden/>
    <w:unhideWhenUsed/>
    <w:rsid w:val="00443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71/wr/mm7122e1.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poxvirus/monkeypox/considerations-for-monkeypox-vaccination.html" TargetMode="External"/><Relationship Id="rId12" Type="http://schemas.openxmlformats.org/officeDocument/2006/relationships/hyperlink" Target="https://vaers.hhs.gov/reportev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vaccines/hcp/vis/vis-statements/smallpox-monkeypox.pdf" TargetMode="External"/><Relationship Id="rId4" Type="http://schemas.openxmlformats.org/officeDocument/2006/relationships/webSettings" Target="webSettings.xml"/><Relationship Id="rId9" Type="http://schemas.openxmlformats.org/officeDocument/2006/relationships/hyperlink" Target="https://www.fda.gov/media/131078/downlo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Hudanick, Lana</dc:creator>
  <cp:keywords/>
  <dc:description/>
  <cp:lastModifiedBy>Cox, Lisa</cp:lastModifiedBy>
  <cp:revision>8</cp:revision>
  <dcterms:created xsi:type="dcterms:W3CDTF">2022-07-21T13:18:00Z</dcterms:created>
  <dcterms:modified xsi:type="dcterms:W3CDTF">2022-07-27T23:00:00Z</dcterms:modified>
</cp:coreProperties>
</file>