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B0" w:rsidRDefault="00CE78B0" w:rsidP="00CE78B0">
      <w:pPr>
        <w:tabs>
          <w:tab w:val="left" w:pos="2220"/>
        </w:tabs>
        <w:jc w:val="center"/>
        <w:rPr>
          <w:rFonts w:cs="Arial"/>
          <w:b/>
          <w:sz w:val="32"/>
          <w:szCs w:val="32"/>
        </w:rPr>
      </w:pPr>
    </w:p>
    <w:p w:rsidR="00075195" w:rsidRDefault="005271D7" w:rsidP="00CE78B0">
      <w:pPr>
        <w:tabs>
          <w:tab w:val="left" w:pos="2220"/>
        </w:tabs>
        <w:jc w:val="center"/>
        <w:rPr>
          <w:rFonts w:cs="Arial"/>
          <w:b/>
          <w:sz w:val="32"/>
          <w:szCs w:val="32"/>
        </w:rPr>
      </w:pPr>
      <w:r w:rsidRPr="00CE78B0">
        <w:rPr>
          <w:rFonts w:cs="Arial"/>
          <w:b/>
          <w:sz w:val="32"/>
          <w:szCs w:val="32"/>
        </w:rPr>
        <w:t>Missouri Department of Health and Senior Services</w:t>
      </w:r>
    </w:p>
    <w:p w:rsidR="005271D7" w:rsidRDefault="00CE78B0" w:rsidP="00CE78B0">
      <w:pPr>
        <w:tabs>
          <w:tab w:val="left" w:pos="2220"/>
        </w:tabs>
        <w:jc w:val="center"/>
        <w:rPr>
          <w:rFonts w:cs="Arial"/>
          <w:b/>
          <w:sz w:val="32"/>
          <w:szCs w:val="32"/>
        </w:rPr>
      </w:pPr>
      <w:r w:rsidRPr="00CE78B0">
        <w:rPr>
          <w:rFonts w:cs="Arial"/>
          <w:b/>
          <w:sz w:val="32"/>
          <w:szCs w:val="32"/>
        </w:rPr>
        <w:t>Statement on Private Drinking Water Testing Regulations</w:t>
      </w:r>
    </w:p>
    <w:p w:rsidR="00CE78B0" w:rsidRPr="00CE78B0" w:rsidRDefault="00CE78B0" w:rsidP="00CE78B0">
      <w:pPr>
        <w:tabs>
          <w:tab w:val="left" w:pos="2220"/>
        </w:tabs>
        <w:jc w:val="center"/>
        <w:rPr>
          <w:rFonts w:cs="Arial"/>
          <w:b/>
          <w:sz w:val="32"/>
          <w:szCs w:val="32"/>
        </w:rPr>
      </w:pPr>
    </w:p>
    <w:p w:rsidR="00075195" w:rsidRPr="00CE78B0" w:rsidRDefault="00075195" w:rsidP="00075195">
      <w:pPr>
        <w:tabs>
          <w:tab w:val="left" w:pos="2220"/>
        </w:tabs>
        <w:rPr>
          <w:rFonts w:cs="Arial"/>
          <w:sz w:val="24"/>
        </w:rPr>
      </w:pPr>
    </w:p>
    <w:p w:rsidR="00A55087" w:rsidRDefault="00075195" w:rsidP="004517F5">
      <w:pPr>
        <w:tabs>
          <w:tab w:val="left" w:pos="2220"/>
        </w:tabs>
        <w:rPr>
          <w:rFonts w:cs="Arial"/>
          <w:sz w:val="24"/>
        </w:rPr>
      </w:pPr>
      <w:r w:rsidRPr="004517F5">
        <w:rPr>
          <w:rFonts w:cs="Arial"/>
          <w:sz w:val="24"/>
        </w:rPr>
        <w:t>Although the Missouri State Public Health Laboratory (SPHL) does provide private dr</w:t>
      </w:r>
      <w:r w:rsidR="00CE78B0" w:rsidRPr="004517F5">
        <w:rPr>
          <w:rFonts w:cs="Arial"/>
          <w:sz w:val="24"/>
        </w:rPr>
        <w:t>inking water testing services, t</w:t>
      </w:r>
      <w:r w:rsidRPr="004517F5">
        <w:rPr>
          <w:rFonts w:cs="Arial"/>
          <w:sz w:val="24"/>
        </w:rPr>
        <w:t>he State of Missouri does</w:t>
      </w:r>
      <w:r w:rsidR="00F0586E" w:rsidRPr="004517F5">
        <w:rPr>
          <w:rFonts w:cs="Arial"/>
          <w:sz w:val="24"/>
        </w:rPr>
        <w:t xml:space="preserve"> not</w:t>
      </w:r>
      <w:r w:rsidR="00CE78B0" w:rsidRPr="004517F5">
        <w:rPr>
          <w:rFonts w:cs="Arial"/>
          <w:sz w:val="24"/>
        </w:rPr>
        <w:t xml:space="preserve"> regulate or have any testing requirements for private drinking water. The testing of private drinking water sources by the SPHL</w:t>
      </w:r>
      <w:r w:rsidR="005271D7" w:rsidRPr="004517F5">
        <w:rPr>
          <w:rFonts w:cs="Arial"/>
          <w:sz w:val="24"/>
        </w:rPr>
        <w:t xml:space="preserve"> is </w:t>
      </w:r>
      <w:r w:rsidR="00CE78B0" w:rsidRPr="004517F5">
        <w:rPr>
          <w:rFonts w:cs="Arial"/>
          <w:sz w:val="24"/>
        </w:rPr>
        <w:t xml:space="preserve">voluntary and </w:t>
      </w:r>
      <w:r w:rsidR="005271D7" w:rsidRPr="004517F5">
        <w:rPr>
          <w:rFonts w:cs="Arial"/>
          <w:sz w:val="24"/>
        </w:rPr>
        <w:t>only performed upon request</w:t>
      </w:r>
      <w:r w:rsidR="00CE78B0" w:rsidRPr="004517F5">
        <w:rPr>
          <w:rFonts w:cs="Arial"/>
          <w:sz w:val="24"/>
        </w:rPr>
        <w:t xml:space="preserve">. </w:t>
      </w:r>
    </w:p>
    <w:p w:rsidR="00A55087" w:rsidRDefault="00A55087" w:rsidP="004517F5">
      <w:pPr>
        <w:tabs>
          <w:tab w:val="left" w:pos="2220"/>
        </w:tabs>
        <w:rPr>
          <w:rFonts w:cs="Arial"/>
          <w:sz w:val="24"/>
        </w:rPr>
      </w:pPr>
    </w:p>
    <w:p w:rsidR="00075195" w:rsidRPr="004517F5" w:rsidRDefault="00075195" w:rsidP="004517F5">
      <w:pPr>
        <w:tabs>
          <w:tab w:val="left" w:pos="2220"/>
        </w:tabs>
        <w:rPr>
          <w:rFonts w:cs="Arial"/>
          <w:sz w:val="24"/>
        </w:rPr>
      </w:pPr>
      <w:bookmarkStart w:id="0" w:name="_GoBack"/>
      <w:bookmarkEnd w:id="0"/>
      <w:r w:rsidRPr="004517F5">
        <w:rPr>
          <w:rFonts w:cs="Arial"/>
          <w:sz w:val="24"/>
        </w:rPr>
        <w:t>The only regulations associated with private drinking water are in regards to private drinking water wells and t</w:t>
      </w:r>
      <w:r w:rsidR="004517F5" w:rsidRPr="004517F5">
        <w:rPr>
          <w:rFonts w:cs="Arial"/>
          <w:sz w:val="24"/>
        </w:rPr>
        <w:t xml:space="preserve">heir construction/installation, which is overseen by The </w:t>
      </w:r>
      <w:r w:rsidR="004517F5">
        <w:rPr>
          <w:rFonts w:cs="Arial"/>
          <w:sz w:val="24"/>
        </w:rPr>
        <w:t>Missouri D</w:t>
      </w:r>
      <w:r w:rsidR="004517F5" w:rsidRPr="004517F5">
        <w:rPr>
          <w:rFonts w:cs="Arial"/>
          <w:sz w:val="24"/>
        </w:rPr>
        <w:t>epartment of Natural Resources (DNR).</w:t>
      </w:r>
      <w:r w:rsidRPr="004517F5">
        <w:rPr>
          <w:rFonts w:cs="Arial"/>
        </w:rPr>
        <w:t xml:space="preserve"> </w:t>
      </w:r>
      <w:r w:rsidRPr="004517F5">
        <w:rPr>
          <w:rFonts w:cs="Arial"/>
          <w:sz w:val="24"/>
        </w:rPr>
        <w:t xml:space="preserve">More information on </w:t>
      </w:r>
      <w:r w:rsidR="00CE78B0" w:rsidRPr="004517F5">
        <w:rPr>
          <w:rFonts w:cs="Arial"/>
          <w:sz w:val="24"/>
        </w:rPr>
        <w:t>certified well/pump installation contractors and the</w:t>
      </w:r>
      <w:r w:rsidRPr="004517F5">
        <w:rPr>
          <w:rFonts w:cs="Arial"/>
          <w:sz w:val="24"/>
        </w:rPr>
        <w:t xml:space="preserve"> Water Well Drillers Act can be found at: </w:t>
      </w:r>
      <w:hyperlink r:id="rId6" w:history="1">
        <w:r w:rsidR="00CE78B0" w:rsidRPr="004517F5">
          <w:rPr>
            <w:rStyle w:val="Hyperlink"/>
            <w:rFonts w:cs="Arial"/>
            <w:sz w:val="24"/>
          </w:rPr>
          <w:t>https://dnr.mo.gov/water/business-industry-other-entities/permits-certification-engineering-fees/wells-drilling/well-pump-installation-contractor-permitting</w:t>
        </w:r>
      </w:hyperlink>
    </w:p>
    <w:p w:rsidR="00CE78B0" w:rsidRPr="00CE78B0" w:rsidRDefault="00CE78B0" w:rsidP="0007519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</w:p>
    <w:p w:rsidR="00DE59D2" w:rsidRPr="00CE78B0" w:rsidRDefault="00DE59D2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sectPr w:rsidR="00DE59D2" w:rsidRPr="00CE78B0" w:rsidSect="00DE59D2">
      <w:headerReference w:type="first" r:id="rId7"/>
      <w:footerReference w:type="first" r:id="rId8"/>
      <w:pgSz w:w="12240" w:h="15840" w:code="1"/>
      <w:pgMar w:top="720" w:right="1440" w:bottom="43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2C" w:rsidRDefault="00A0152C">
      <w:r>
        <w:separator/>
      </w:r>
    </w:p>
  </w:endnote>
  <w:endnote w:type="continuationSeparator" w:id="0">
    <w:p w:rsidR="00A0152C" w:rsidRDefault="00A0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9360"/>
    </w:tblGrid>
    <w:tr w:rsidR="00DE59D2">
      <w:tc>
        <w:tcPr>
          <w:tcW w:w="9576" w:type="dxa"/>
        </w:tcPr>
        <w:p w:rsidR="00DE59D2" w:rsidRDefault="00A0152C">
          <w:pPr>
            <w:pStyle w:val="Footer"/>
            <w:tabs>
              <w:tab w:val="clear" w:pos="4320"/>
              <w:tab w:val="center" w:pos="4680"/>
            </w:tabs>
            <w:jc w:val="center"/>
            <w:rPr>
              <w:b/>
              <w:bCs/>
              <w:sz w:val="14"/>
            </w:rPr>
          </w:pPr>
          <w:hyperlink r:id="rId1" w:history="1">
            <w:r w:rsidR="001F1921" w:rsidRPr="00C251A3">
              <w:rPr>
                <w:rStyle w:val="Hyperlink"/>
                <w:b/>
                <w:bCs/>
                <w:sz w:val="14"/>
              </w:rPr>
              <w:t>www.health.mo.gov</w:t>
            </w:r>
          </w:hyperlink>
        </w:p>
        <w:p w:rsidR="00DE59D2" w:rsidRDefault="00DE59D2">
          <w:pPr>
            <w:pStyle w:val="Footer"/>
            <w:tabs>
              <w:tab w:val="clear" w:pos="4320"/>
              <w:tab w:val="center" w:pos="4680"/>
            </w:tabs>
            <w:jc w:val="center"/>
            <w:rPr>
              <w:b/>
              <w:bCs/>
              <w:sz w:val="14"/>
            </w:rPr>
          </w:pPr>
        </w:p>
        <w:p w:rsidR="00DE59D2" w:rsidRDefault="001F1921">
          <w:pPr>
            <w:pStyle w:val="Footer"/>
            <w:tabs>
              <w:tab w:val="clear" w:pos="4320"/>
              <w:tab w:val="center" w:pos="4680"/>
            </w:tabs>
            <w:jc w:val="center"/>
            <w:rPr>
              <w:b/>
              <w:bCs/>
              <w:sz w:val="14"/>
            </w:rPr>
          </w:pPr>
          <w:r>
            <w:rPr>
              <w:b/>
              <w:bCs/>
              <w:sz w:val="14"/>
            </w:rPr>
            <w:t>Healthy Missourians for life.</w:t>
          </w:r>
        </w:p>
        <w:p w:rsidR="00DE59D2" w:rsidRDefault="001F1921">
          <w:pPr>
            <w:pStyle w:val="Footer"/>
            <w:tabs>
              <w:tab w:val="clear" w:pos="4320"/>
              <w:tab w:val="center" w:pos="4680"/>
            </w:tabs>
            <w:jc w:val="center"/>
            <w:rPr>
              <w:rFonts w:cs="Arial"/>
              <w:sz w:val="15"/>
            </w:rPr>
          </w:pPr>
          <w:r>
            <w:rPr>
              <w:rFonts w:cs="Arial"/>
              <w:sz w:val="15"/>
            </w:rPr>
            <w:t>The Missouri Department of Health and Senior Services will be the leader in promoting, protecting and partnering for Health.</w:t>
          </w:r>
        </w:p>
        <w:p w:rsidR="00DE59D2" w:rsidRDefault="00DE59D2">
          <w:pPr>
            <w:pStyle w:val="Footer"/>
            <w:tabs>
              <w:tab w:val="clear" w:pos="4320"/>
              <w:tab w:val="center" w:pos="4680"/>
            </w:tabs>
            <w:jc w:val="center"/>
            <w:rPr>
              <w:sz w:val="15"/>
            </w:rPr>
          </w:pPr>
        </w:p>
        <w:p w:rsidR="00DE59D2" w:rsidRDefault="00DE59D2">
          <w:pPr>
            <w:pStyle w:val="Footer"/>
            <w:tabs>
              <w:tab w:val="clear" w:pos="4320"/>
              <w:tab w:val="center" w:pos="4680"/>
            </w:tabs>
            <w:jc w:val="center"/>
            <w:rPr>
              <w:sz w:val="4"/>
            </w:rPr>
          </w:pPr>
        </w:p>
        <w:p w:rsidR="00DE59D2" w:rsidRDefault="001F1921">
          <w:pPr>
            <w:pStyle w:val="Footer"/>
            <w:tabs>
              <w:tab w:val="clear" w:pos="4320"/>
              <w:tab w:val="center" w:pos="4680"/>
            </w:tabs>
            <w:jc w:val="center"/>
            <w:rPr>
              <w:sz w:val="15"/>
            </w:rPr>
          </w:pPr>
          <w:r>
            <w:rPr>
              <w:sz w:val="15"/>
            </w:rPr>
            <w:t>AN EQUAL OPPORTUNITY / AFFIRMATIVE ACTION EMPLOYER: Services provided on a nondiscriminatory basis.</w:t>
          </w:r>
        </w:p>
        <w:p w:rsidR="00DE59D2" w:rsidRDefault="00DE59D2">
          <w:pPr>
            <w:pStyle w:val="Footer"/>
            <w:tabs>
              <w:tab w:val="clear" w:pos="4320"/>
              <w:tab w:val="clear" w:pos="8640"/>
              <w:tab w:val="center" w:pos="4680"/>
            </w:tabs>
            <w:jc w:val="center"/>
          </w:pPr>
        </w:p>
      </w:tc>
    </w:tr>
  </w:tbl>
  <w:p w:rsidR="00DE59D2" w:rsidRDefault="00DE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2C" w:rsidRDefault="00A0152C">
      <w:r>
        <w:separator/>
      </w:r>
    </w:p>
  </w:footnote>
  <w:footnote w:type="continuationSeparator" w:id="0">
    <w:p w:rsidR="00A0152C" w:rsidRDefault="00A0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691"/>
      <w:gridCol w:w="7669"/>
    </w:tblGrid>
    <w:tr w:rsidR="00DE59D2">
      <w:trPr>
        <w:cantSplit/>
        <w:trHeight w:val="1080"/>
      </w:trPr>
      <w:tc>
        <w:tcPr>
          <w:tcW w:w="1696" w:type="dxa"/>
          <w:vMerge w:val="restart"/>
        </w:tcPr>
        <w:p w:rsidR="0033709E" w:rsidRDefault="0033709E">
          <w:pPr>
            <w:pStyle w:val="Header"/>
            <w:ind w:hanging="78"/>
          </w:pPr>
        </w:p>
        <w:p w:rsidR="0033709E" w:rsidRDefault="006E650B" w:rsidP="0033709E">
          <w:r>
            <w:rPr>
              <w:noProof/>
            </w:rPr>
            <w:drawing>
              <wp:inline distT="0" distB="0" distL="0" distR="0">
                <wp:extent cx="853440" cy="723900"/>
                <wp:effectExtent l="0" t="0" r="3810" b="0"/>
                <wp:docPr id="1" name="Picture 1" descr="DHSS Logo Final 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HSS Logo Final 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E59D2" w:rsidRPr="0033709E" w:rsidRDefault="00DE59D2" w:rsidP="0033709E">
          <w:pPr>
            <w:jc w:val="center"/>
          </w:pPr>
        </w:p>
      </w:tc>
      <w:tc>
        <w:tcPr>
          <w:tcW w:w="7880" w:type="dxa"/>
          <w:tcBorders>
            <w:bottom w:val="single" w:sz="4" w:space="0" w:color="auto"/>
          </w:tcBorders>
          <w:vAlign w:val="center"/>
        </w:tcPr>
        <w:p w:rsidR="00DE59D2" w:rsidRDefault="001F1921">
          <w:pPr>
            <w:pStyle w:val="Header"/>
            <w:rPr>
              <w:sz w:val="80"/>
            </w:rPr>
          </w:pPr>
          <w:r>
            <w:rPr>
              <w:sz w:val="80"/>
            </w:rPr>
            <w:t>MEMO</w:t>
          </w:r>
        </w:p>
      </w:tc>
    </w:tr>
    <w:tr w:rsidR="00DE59D2">
      <w:trPr>
        <w:cantSplit/>
        <w:trHeight w:val="173"/>
      </w:trPr>
      <w:tc>
        <w:tcPr>
          <w:tcW w:w="1696" w:type="dxa"/>
          <w:vMerge/>
        </w:tcPr>
        <w:p w:rsidR="00DE59D2" w:rsidRDefault="00DE59D2">
          <w:pPr>
            <w:pStyle w:val="Header"/>
            <w:ind w:hanging="78"/>
          </w:pPr>
        </w:p>
      </w:tc>
      <w:tc>
        <w:tcPr>
          <w:tcW w:w="7880" w:type="dxa"/>
          <w:tcBorders>
            <w:top w:val="single" w:sz="4" w:space="0" w:color="auto"/>
          </w:tcBorders>
        </w:tcPr>
        <w:p w:rsidR="00DE59D2" w:rsidRDefault="00DE59D2">
          <w:pPr>
            <w:pStyle w:val="Header"/>
          </w:pPr>
        </w:p>
      </w:tc>
    </w:tr>
  </w:tbl>
  <w:p w:rsidR="00DE59D2" w:rsidRDefault="00DE5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2D"/>
    <w:rsid w:val="00075195"/>
    <w:rsid w:val="000F641E"/>
    <w:rsid w:val="00146160"/>
    <w:rsid w:val="001A46C6"/>
    <w:rsid w:val="001F1921"/>
    <w:rsid w:val="00256337"/>
    <w:rsid w:val="002E782D"/>
    <w:rsid w:val="0033709E"/>
    <w:rsid w:val="003B6392"/>
    <w:rsid w:val="0043053B"/>
    <w:rsid w:val="004517F5"/>
    <w:rsid w:val="005271D7"/>
    <w:rsid w:val="006E650B"/>
    <w:rsid w:val="009B1FC2"/>
    <w:rsid w:val="00A0152C"/>
    <w:rsid w:val="00A55087"/>
    <w:rsid w:val="00AD175C"/>
    <w:rsid w:val="00AD69B2"/>
    <w:rsid w:val="00C14F0E"/>
    <w:rsid w:val="00CE78B0"/>
    <w:rsid w:val="00DE59D2"/>
    <w:rsid w:val="00E124A7"/>
    <w:rsid w:val="00F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D6433"/>
  <w15:docId w15:val="{DC3478ED-4656-4B3B-BD60-EFF9BFDA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95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E59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E59D2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DE59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9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519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r.mo.gov/water/business-industry-other-entities/permits-certification-engineering-fees/wells-drilling/well-pump-installation-contractor-permitt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mo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0-DHSSMemoLetterhead%2011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0-DHSSMemoLetterhead 11-17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Health and Senior Services</Company>
  <LinksUpToDate>false</LinksUpToDate>
  <CharactersWithSpaces>1091</CharactersWithSpaces>
  <SharedDoc>false</SharedDoc>
  <HLinks>
    <vt:vector size="6" baseType="variant"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http://www.health.mo.gov/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maaset</dc:creator>
  <cp:lastModifiedBy>Evans, Elizabeth</cp:lastModifiedBy>
  <cp:revision>6</cp:revision>
  <cp:lastPrinted>2022-08-09T17:43:00Z</cp:lastPrinted>
  <dcterms:created xsi:type="dcterms:W3CDTF">2022-08-01T19:46:00Z</dcterms:created>
  <dcterms:modified xsi:type="dcterms:W3CDTF">2022-08-09T17:43:00Z</dcterms:modified>
</cp:coreProperties>
</file>