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2E" w:rsidRDefault="00F6592E" w:rsidP="00F6592E">
      <w:pPr>
        <w:pStyle w:val="Heading1"/>
        <w:ind w:left="1170" w:hanging="1170"/>
        <w:rPr>
          <w:szCs w:val="24"/>
        </w:rPr>
      </w:pPr>
      <w:bookmarkStart w:id="0" w:name="_GoBack"/>
      <w:bookmarkEnd w:id="0"/>
      <w:r>
        <w:rPr>
          <w:szCs w:val="24"/>
        </w:rPr>
        <w:t xml:space="preserve">TO:  </w:t>
      </w:r>
      <w:r>
        <w:rPr>
          <w:szCs w:val="24"/>
        </w:rPr>
        <w:tab/>
        <w:t xml:space="preserve">Submitters of </w:t>
      </w:r>
      <w:r w:rsidR="002D43D9">
        <w:rPr>
          <w:szCs w:val="24"/>
        </w:rPr>
        <w:t xml:space="preserve">Syphilis </w:t>
      </w:r>
      <w:r>
        <w:rPr>
          <w:szCs w:val="24"/>
        </w:rPr>
        <w:t>Specimens to the Missouri State Public Health Laboratory</w:t>
      </w: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F6592E" w:rsidP="00F6592E">
      <w:pPr>
        <w:pStyle w:val="Header"/>
        <w:tabs>
          <w:tab w:val="left" w:pos="720"/>
        </w:tabs>
        <w:ind w:left="1170"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FROM:   </w:t>
      </w:r>
      <w:r>
        <w:rPr>
          <w:rFonts w:ascii="Times New Roman" w:hAnsi="Times New Roman"/>
          <w:sz w:val="24"/>
        </w:rPr>
        <w:tab/>
        <w:t>Bill Whitmar, Laboratory Director</w:t>
      </w:r>
    </w:p>
    <w:p w:rsidR="00F6592E" w:rsidRDefault="00F6592E" w:rsidP="00F6592E">
      <w:pPr>
        <w:pStyle w:val="Header"/>
        <w:tabs>
          <w:tab w:val="left" w:pos="720"/>
        </w:tabs>
        <w:ind w:left="1170"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Missouri State Public Health Laboratory</w:t>
      </w: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F6592E" w:rsidP="00F6592E">
      <w:pPr>
        <w:ind w:left="1170"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367346">
        <w:rPr>
          <w:rFonts w:ascii="Times New Roman" w:hAnsi="Times New Roman"/>
          <w:sz w:val="24"/>
        </w:rPr>
        <w:t>March 28, 2019</w:t>
      </w: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F6592E" w:rsidP="00F6592E">
      <w:pPr>
        <w:ind w:left="1170"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RE: </w:t>
      </w:r>
      <w:r>
        <w:rPr>
          <w:rFonts w:ascii="Times New Roman" w:hAnsi="Times New Roman"/>
          <w:sz w:val="24"/>
        </w:rPr>
        <w:tab/>
      </w:r>
      <w:r w:rsidR="002D43D9">
        <w:rPr>
          <w:rFonts w:ascii="Times New Roman" w:hAnsi="Times New Roman"/>
          <w:sz w:val="24"/>
        </w:rPr>
        <w:t>Syphilis testing</w:t>
      </w:r>
      <w:r>
        <w:rPr>
          <w:rFonts w:ascii="Times New Roman" w:hAnsi="Times New Roman"/>
          <w:sz w:val="24"/>
        </w:rPr>
        <w:t xml:space="preserve"> </w:t>
      </w:r>
    </w:p>
    <w:p w:rsidR="00C97CC3" w:rsidRDefault="00C97CC3" w:rsidP="00F6592E">
      <w:pPr>
        <w:ind w:left="1170" w:hanging="1170"/>
        <w:rPr>
          <w:rFonts w:ascii="Times New Roman" w:hAnsi="Times New Roman"/>
          <w:sz w:val="24"/>
        </w:rPr>
      </w:pP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F6592E" w:rsidP="00F659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Missouri State Public Health Laboratory (MSPHL) is </w:t>
      </w:r>
      <w:r w:rsidR="002D43D9">
        <w:rPr>
          <w:rFonts w:ascii="Times New Roman" w:hAnsi="Times New Roman"/>
          <w:sz w:val="24"/>
        </w:rPr>
        <w:t>automating</w:t>
      </w:r>
      <w:r>
        <w:rPr>
          <w:rFonts w:ascii="Times New Roman" w:hAnsi="Times New Roman"/>
          <w:sz w:val="24"/>
        </w:rPr>
        <w:t xml:space="preserve"> </w:t>
      </w:r>
      <w:r w:rsidR="002D43D9">
        <w:rPr>
          <w:rFonts w:ascii="Times New Roman" w:hAnsi="Times New Roman"/>
          <w:sz w:val="24"/>
        </w:rPr>
        <w:t xml:space="preserve">syphilis testing </w:t>
      </w:r>
      <w:r w:rsidR="009844E3">
        <w:rPr>
          <w:rFonts w:ascii="Times New Roman" w:hAnsi="Times New Roman"/>
          <w:sz w:val="24"/>
        </w:rPr>
        <w:t xml:space="preserve">during the month </w:t>
      </w:r>
      <w:r w:rsidR="009844E3" w:rsidRPr="009844E3">
        <w:rPr>
          <w:rFonts w:ascii="Times New Roman" w:hAnsi="Times New Roman"/>
          <w:sz w:val="24"/>
        </w:rPr>
        <w:t xml:space="preserve">of </w:t>
      </w:r>
      <w:r w:rsidR="002D43D9" w:rsidRPr="009844E3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.  No interruption in </w:t>
      </w:r>
      <w:r w:rsidR="002D43D9">
        <w:rPr>
          <w:rFonts w:ascii="Times New Roman" w:hAnsi="Times New Roman"/>
          <w:sz w:val="24"/>
        </w:rPr>
        <w:t xml:space="preserve">syphilis testing service is anticipated and no change to the report will </w:t>
      </w:r>
      <w:r w:rsidR="00CC011C">
        <w:rPr>
          <w:rFonts w:ascii="Times New Roman" w:hAnsi="Times New Roman"/>
          <w:sz w:val="24"/>
        </w:rPr>
        <w:t>occur.</w:t>
      </w: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2D43D9" w:rsidP="00F659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MSPHL is implementing this change </w:t>
      </w:r>
      <w:r w:rsidR="00F6592E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provide </w:t>
      </w:r>
      <w:r w:rsidR="005569EA">
        <w:rPr>
          <w:rFonts w:ascii="Times New Roman" w:hAnsi="Times New Roman"/>
          <w:sz w:val="24"/>
        </w:rPr>
        <w:t>better</w:t>
      </w:r>
      <w:r>
        <w:rPr>
          <w:rFonts w:ascii="Times New Roman" w:hAnsi="Times New Roman"/>
          <w:sz w:val="24"/>
        </w:rPr>
        <w:t xml:space="preserve"> consistency in </w:t>
      </w:r>
      <w:r w:rsidR="00CC011C">
        <w:rPr>
          <w:rFonts w:ascii="Times New Roman" w:hAnsi="Times New Roman"/>
          <w:sz w:val="24"/>
        </w:rPr>
        <w:t xml:space="preserve">laboratory </w:t>
      </w:r>
      <w:r>
        <w:rPr>
          <w:rFonts w:ascii="Times New Roman" w:hAnsi="Times New Roman"/>
          <w:sz w:val="24"/>
        </w:rPr>
        <w:t xml:space="preserve">results. The traditional algorithm will </w:t>
      </w:r>
      <w:r w:rsidR="00CC011C">
        <w:rPr>
          <w:rFonts w:ascii="Times New Roman" w:hAnsi="Times New Roman"/>
          <w:sz w:val="24"/>
        </w:rPr>
        <w:t xml:space="preserve">continue to </w:t>
      </w:r>
      <w:r>
        <w:rPr>
          <w:rFonts w:ascii="Times New Roman" w:hAnsi="Times New Roman"/>
          <w:sz w:val="24"/>
        </w:rPr>
        <w:t xml:space="preserve">be </w:t>
      </w:r>
      <w:r w:rsidR="00CC011C">
        <w:rPr>
          <w:rFonts w:ascii="Times New Roman" w:hAnsi="Times New Roman"/>
          <w:sz w:val="24"/>
        </w:rPr>
        <w:t xml:space="preserve">applied </w:t>
      </w:r>
      <w:r w:rsidR="00515967">
        <w:rPr>
          <w:rFonts w:ascii="Times New Roman" w:hAnsi="Times New Roman"/>
          <w:sz w:val="24"/>
        </w:rPr>
        <w:t>which starts with an</w:t>
      </w:r>
      <w:r>
        <w:rPr>
          <w:rFonts w:ascii="Times New Roman" w:hAnsi="Times New Roman"/>
          <w:sz w:val="24"/>
        </w:rPr>
        <w:t xml:space="preserve"> RPR screen, followed by RPR titer and TP-PA, if required.</w:t>
      </w:r>
      <w:r w:rsidR="00F6592E">
        <w:rPr>
          <w:rFonts w:ascii="Times New Roman" w:hAnsi="Times New Roman"/>
          <w:sz w:val="24"/>
        </w:rPr>
        <w:t xml:space="preserve"> </w:t>
      </w:r>
    </w:p>
    <w:p w:rsidR="00515967" w:rsidRDefault="00515967" w:rsidP="00F6592E">
      <w:pPr>
        <w:rPr>
          <w:rFonts w:ascii="Times New Roman" w:hAnsi="Times New Roman"/>
          <w:sz w:val="24"/>
        </w:rPr>
      </w:pPr>
    </w:p>
    <w:p w:rsidR="00F6592E" w:rsidRDefault="005569EA" w:rsidP="00F659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</w:t>
      </w:r>
      <w:r w:rsidRPr="005852BB">
        <w:rPr>
          <w:rFonts w:ascii="Times New Roman" w:hAnsi="Times New Roman"/>
          <w:sz w:val="24"/>
        </w:rPr>
        <w:t>change</w:t>
      </w:r>
      <w:r w:rsidR="00CC011C">
        <w:rPr>
          <w:rFonts w:ascii="Times New Roman" w:hAnsi="Times New Roman"/>
          <w:sz w:val="24"/>
        </w:rPr>
        <w:t xml:space="preserve"> that will occur</w:t>
      </w:r>
      <w:r>
        <w:rPr>
          <w:rFonts w:ascii="Times New Roman" w:hAnsi="Times New Roman"/>
          <w:sz w:val="24"/>
        </w:rPr>
        <w:t xml:space="preserve"> </w:t>
      </w:r>
      <w:r w:rsidR="005852BB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 xml:space="preserve"> automation is </w:t>
      </w:r>
      <w:r w:rsidR="00515967">
        <w:rPr>
          <w:rFonts w:ascii="Times New Roman" w:hAnsi="Times New Roman"/>
          <w:sz w:val="24"/>
        </w:rPr>
        <w:t xml:space="preserve">more serum will be </w:t>
      </w:r>
      <w:r w:rsidR="005852BB">
        <w:rPr>
          <w:rFonts w:ascii="Times New Roman" w:hAnsi="Times New Roman"/>
          <w:sz w:val="24"/>
        </w:rPr>
        <w:t>needed to perform the test</w:t>
      </w:r>
      <w:r w:rsidR="00515967">
        <w:rPr>
          <w:rFonts w:ascii="Times New Roman" w:hAnsi="Times New Roman"/>
          <w:sz w:val="24"/>
        </w:rPr>
        <w:t xml:space="preserve">. </w:t>
      </w:r>
      <w:r w:rsidR="005852BB">
        <w:rPr>
          <w:rFonts w:ascii="Times New Roman" w:hAnsi="Times New Roman"/>
          <w:sz w:val="24"/>
        </w:rPr>
        <w:t>As long as the provided 6 mL red top vacutainer tube is full or close to full, there should b</w:t>
      </w:r>
      <w:r w:rsidR="00133D47">
        <w:rPr>
          <w:rFonts w:ascii="Times New Roman" w:hAnsi="Times New Roman"/>
          <w:sz w:val="24"/>
        </w:rPr>
        <w:t xml:space="preserve">e enough serum for both a </w:t>
      </w:r>
      <w:r w:rsidR="005852BB">
        <w:rPr>
          <w:rFonts w:ascii="Times New Roman" w:hAnsi="Times New Roman"/>
          <w:sz w:val="24"/>
        </w:rPr>
        <w:t>syphilis and HIV test</w:t>
      </w:r>
      <w:r w:rsidR="00133D47">
        <w:rPr>
          <w:rFonts w:ascii="Times New Roman" w:hAnsi="Times New Roman"/>
          <w:sz w:val="24"/>
        </w:rPr>
        <w:t xml:space="preserve"> and any follow up testing that is required</w:t>
      </w:r>
      <w:r w:rsidR="005852BB">
        <w:rPr>
          <w:rFonts w:ascii="Times New Roman" w:hAnsi="Times New Roman"/>
          <w:sz w:val="24"/>
        </w:rPr>
        <w:t xml:space="preserve">. Please </w:t>
      </w:r>
      <w:r w:rsidR="00CC011C">
        <w:rPr>
          <w:rFonts w:ascii="Times New Roman" w:hAnsi="Times New Roman"/>
          <w:sz w:val="24"/>
        </w:rPr>
        <w:t xml:space="preserve">continue to </w:t>
      </w:r>
      <w:r w:rsidR="00F6592E">
        <w:rPr>
          <w:rFonts w:ascii="Times New Roman" w:hAnsi="Times New Roman"/>
          <w:sz w:val="24"/>
        </w:rPr>
        <w:t>send t</w:t>
      </w:r>
      <w:r w:rsidR="005852BB">
        <w:rPr>
          <w:rFonts w:ascii="Times New Roman" w:hAnsi="Times New Roman"/>
          <w:sz w:val="24"/>
        </w:rPr>
        <w:t>he specimen to</w:t>
      </w:r>
      <w:r w:rsidR="00F6592E">
        <w:rPr>
          <w:rFonts w:ascii="Times New Roman" w:hAnsi="Times New Roman"/>
          <w:sz w:val="24"/>
        </w:rPr>
        <w:t xml:space="preserve"> the MSPHL within three (3) days of collection in order to complete any follow up testing.  Specimens will be unsatisfactory for </w:t>
      </w:r>
      <w:r w:rsidR="002D43D9">
        <w:rPr>
          <w:rFonts w:ascii="Times New Roman" w:hAnsi="Times New Roman"/>
          <w:sz w:val="24"/>
        </w:rPr>
        <w:t>syphilis</w:t>
      </w:r>
      <w:r w:rsidR="00F6592E">
        <w:rPr>
          <w:rFonts w:ascii="Times New Roman" w:hAnsi="Times New Roman"/>
          <w:sz w:val="24"/>
        </w:rPr>
        <w:t xml:space="preserve"> screening ten (10) days after collection and will not be tested.  To assist in transporting samples to the MSPHL, please visit our web site at </w:t>
      </w:r>
      <w:hyperlink r:id="rId7" w:history="1">
        <w:r w:rsidR="00F6592E">
          <w:rPr>
            <w:rStyle w:val="Hyperlink"/>
            <w:rFonts w:ascii="Times New Roman" w:hAnsi="Times New Roman"/>
            <w:sz w:val="24"/>
          </w:rPr>
          <w:t>www.health.mo.gov/lab/courierservices.php</w:t>
        </w:r>
      </w:hyperlink>
      <w:r w:rsidR="00F6592E">
        <w:rPr>
          <w:rFonts w:ascii="Times New Roman" w:hAnsi="Times New Roman"/>
          <w:sz w:val="24"/>
        </w:rPr>
        <w:t xml:space="preserve"> to find the closest courier drop off location to your facility.  </w:t>
      </w:r>
    </w:p>
    <w:p w:rsidR="00F6592E" w:rsidRDefault="00F6592E" w:rsidP="00F6592E">
      <w:pPr>
        <w:rPr>
          <w:rFonts w:ascii="Times New Roman" w:hAnsi="Times New Roman"/>
          <w:sz w:val="24"/>
        </w:rPr>
      </w:pPr>
    </w:p>
    <w:p w:rsidR="00F6592E" w:rsidRDefault="00F6592E" w:rsidP="00F659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Any questions regarding the </w:t>
      </w:r>
      <w:r w:rsidR="00C02A66">
        <w:rPr>
          <w:rFonts w:ascii="Times New Roman" w:hAnsi="Times New Roman"/>
          <w:sz w:val="24"/>
        </w:rPr>
        <w:t>automated syphilis</w:t>
      </w:r>
      <w:r>
        <w:rPr>
          <w:rFonts w:ascii="Times New Roman" w:hAnsi="Times New Roman"/>
          <w:sz w:val="24"/>
        </w:rPr>
        <w:t xml:space="preserve"> assay should be directed to Nicole Ayres, HIV/Syphilis Supervisor, at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Nicole.Ayres@health.mo.gov</w:t>
        </w:r>
      </w:hyperlink>
      <w:r>
        <w:rPr>
          <w:rFonts w:ascii="Times New Roman" w:hAnsi="Times New Roman"/>
          <w:sz w:val="24"/>
        </w:rPr>
        <w:t xml:space="preserve">  or Dana Strope, Immunology Manager, at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Dana.Strope@health.mo.gov</w:t>
        </w:r>
      </w:hyperlink>
      <w:r>
        <w:rPr>
          <w:rFonts w:ascii="Times New Roman" w:hAnsi="Times New Roman"/>
          <w:sz w:val="24"/>
        </w:rPr>
        <w:t xml:space="preserve"> or by calling the laboratory at 573-751-1465.</w:t>
      </w:r>
    </w:p>
    <w:p w:rsidR="00B7325B" w:rsidRPr="0012324F" w:rsidRDefault="00B7325B" w:rsidP="0012324F"/>
    <w:sectPr w:rsidR="00B7325B" w:rsidRPr="0012324F" w:rsidSect="00E10E41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0D" w:rsidRDefault="00EC650D">
      <w:r>
        <w:separator/>
      </w:r>
    </w:p>
  </w:endnote>
  <w:endnote w:type="continuationSeparator" w:id="0">
    <w:p w:rsidR="00EC650D" w:rsidRDefault="00E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927029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  <w:hyperlink r:id="rId1" w:history="1">
      <w:r w:rsidR="00C82DB2" w:rsidRPr="004A3FAB">
        <w:rPr>
          <w:rStyle w:val="Hyperlink"/>
          <w:b/>
          <w:bCs/>
          <w:sz w:val="14"/>
        </w:rPr>
        <w:t>www.health.mo.gov</w:t>
      </w:r>
    </w:hyperlink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  <w:r>
      <w:rPr>
        <w:b/>
        <w:bCs/>
        <w:sz w:val="14"/>
      </w:rPr>
      <w:t>Healthy Missourians for life.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0D" w:rsidRDefault="00EC650D">
      <w:r>
        <w:separator/>
      </w:r>
    </w:p>
  </w:footnote>
  <w:footnote w:type="continuationSeparator" w:id="0">
    <w:p w:rsidR="00EC650D" w:rsidRDefault="00EC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6570"/>
      <w:gridCol w:w="1944"/>
    </w:tblGrid>
    <w:tr w:rsidR="00005F55" w:rsidTr="00A17BAD">
      <w:trPr>
        <w:cantSplit/>
        <w:trHeight w:val="900"/>
      </w:trPr>
      <w:tc>
        <w:tcPr>
          <w:tcW w:w="172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F6592E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19050</wp:posOffset>
                    </wp:positionV>
                    <wp:extent cx="1146810" cy="815340"/>
                    <wp:effectExtent l="3810" t="0" r="1905" b="381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681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59F0" w:rsidRDefault="00F6592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47725" cy="723900"/>
                                      <wp:effectExtent l="0" t="0" r="9525" b="0"/>
                                      <wp:docPr id="5" name="Picture 2" descr="DHSS Logo Final bw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HSS Logo Final bw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.05pt;margin-top:1.5pt;width:90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Y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" filled="f" stroked="f">
                    <v:textbox style="mso-fit-shape-to-text:t">
                      <w:txbxContent>
                        <w:p w:rsidR="001359F0" w:rsidRDefault="00F659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723900"/>
                                <wp:effectExtent l="0" t="0" r="9525" b="0"/>
                                <wp:docPr id="5" name="Picture 2" descr="DHSS Logo Final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HSS Logo Final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8C2017">
            <w:tab/>
          </w:r>
        </w:p>
      </w:tc>
      <w:tc>
        <w:tcPr>
          <w:tcW w:w="65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17BAD" w:rsidRDefault="00A17BAD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</w:p>
        <w:p w:rsidR="00005F55" w:rsidRDefault="003F03CB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005F55" w:rsidRDefault="003F03CB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</w:t>
          </w:r>
          <w:r w:rsidR="00BA1427">
            <w:rPr>
              <w:rFonts w:cs="Arial"/>
              <w:sz w:val="15"/>
            </w:rPr>
            <w:t xml:space="preserve">fferson City, MO 65102-0570   </w:t>
          </w:r>
          <w:r w:rsidR="004E68ED">
            <w:rPr>
              <w:rFonts w:cs="Arial"/>
              <w:sz w:val="15"/>
            </w:rPr>
            <w:t xml:space="preserve">     Phone: 573-751-6400    </w:t>
          </w:r>
          <w:r w:rsidR="00606F7D">
            <w:rPr>
              <w:rFonts w:cs="Arial"/>
              <w:sz w:val="15"/>
            </w:rPr>
            <w:t xml:space="preserve">FAX: </w:t>
          </w:r>
          <w:r>
            <w:rPr>
              <w:rFonts w:cs="Arial"/>
              <w:sz w:val="15"/>
            </w:rPr>
            <w:t>573-751-6010</w:t>
          </w:r>
        </w:p>
        <w:p w:rsidR="00005F55" w:rsidRDefault="003F03CB" w:rsidP="00A86AB8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</w:t>
          </w:r>
          <w:r w:rsidR="004E68ED">
            <w:rPr>
              <w:rFonts w:cs="Arial"/>
              <w:sz w:val="15"/>
            </w:rPr>
            <w:t xml:space="preserve"> and Voice dial</w:t>
          </w:r>
          <w:r w:rsidR="00606F7D">
            <w:rPr>
              <w:rFonts w:cs="Arial"/>
              <w:sz w:val="15"/>
            </w:rPr>
            <w:t>:</w:t>
          </w:r>
          <w:r w:rsidR="00A86AB8">
            <w:rPr>
              <w:rFonts w:cs="Arial"/>
              <w:sz w:val="15"/>
            </w:rPr>
            <w:t xml:space="preserve">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F6592E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280035</wp:posOffset>
                    </wp:positionH>
                    <wp:positionV relativeFrom="paragraph">
                      <wp:posOffset>-137160</wp:posOffset>
                    </wp:positionV>
                    <wp:extent cx="841375" cy="709930"/>
                    <wp:effectExtent l="3810" t="0" r="254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F6592E" w:rsidP="00D9015B">
                                <w:pPr>
                                  <w:ind w:hanging="90"/>
                                </w:pPr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7225" cy="666750"/>
                                      <wp:effectExtent l="0" t="0" r="9525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22.05pt;margin-top:-10.8pt;width:66.25pt;height:55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" filled="f" stroked="f">
                    <v:textbox>
                      <w:txbxContent>
                        <w:p w:rsidR="00B070FB" w:rsidRDefault="00F6592E" w:rsidP="00D9015B">
                          <w:pPr>
                            <w:ind w:hanging="90"/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7225" cy="666750"/>
                                <wp:effectExtent l="0" t="0" r="9525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6D6284">
      <w:trPr>
        <w:cantSplit/>
        <w:trHeight w:val="553"/>
      </w:trPr>
      <w:tc>
        <w:tcPr>
          <w:tcW w:w="172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6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Ra</w:t>
          </w:r>
          <w:r w:rsidR="00932D40">
            <w:rPr>
              <w:b/>
              <w:sz w:val="16"/>
              <w:szCs w:val="16"/>
            </w:rPr>
            <w:t>ndall W. Williams, MD, FACOG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161B85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L.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 w:rsidP="00A1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3"/>
    <w:rsid w:val="00005F55"/>
    <w:rsid w:val="00052C63"/>
    <w:rsid w:val="000E40B3"/>
    <w:rsid w:val="00105609"/>
    <w:rsid w:val="00105856"/>
    <w:rsid w:val="0012324F"/>
    <w:rsid w:val="00133D47"/>
    <w:rsid w:val="001359F0"/>
    <w:rsid w:val="00150FA7"/>
    <w:rsid w:val="00161B85"/>
    <w:rsid w:val="00174334"/>
    <w:rsid w:val="001A3A65"/>
    <w:rsid w:val="002030DE"/>
    <w:rsid w:val="002718D1"/>
    <w:rsid w:val="002848E7"/>
    <w:rsid w:val="002D43D9"/>
    <w:rsid w:val="003215FA"/>
    <w:rsid w:val="00367346"/>
    <w:rsid w:val="00367CB9"/>
    <w:rsid w:val="003F03CB"/>
    <w:rsid w:val="00482914"/>
    <w:rsid w:val="004A415D"/>
    <w:rsid w:val="004E222E"/>
    <w:rsid w:val="004E68ED"/>
    <w:rsid w:val="00505E51"/>
    <w:rsid w:val="00515967"/>
    <w:rsid w:val="00517C98"/>
    <w:rsid w:val="005373D0"/>
    <w:rsid w:val="005569EA"/>
    <w:rsid w:val="005852BB"/>
    <w:rsid w:val="00606F7D"/>
    <w:rsid w:val="00637F2D"/>
    <w:rsid w:val="00690D37"/>
    <w:rsid w:val="00696A6F"/>
    <w:rsid w:val="006B0D58"/>
    <w:rsid w:val="006C3CD4"/>
    <w:rsid w:val="006D6284"/>
    <w:rsid w:val="006E3AFA"/>
    <w:rsid w:val="006F405C"/>
    <w:rsid w:val="00712F27"/>
    <w:rsid w:val="00742E0F"/>
    <w:rsid w:val="00744AD3"/>
    <w:rsid w:val="007E64FA"/>
    <w:rsid w:val="007F129A"/>
    <w:rsid w:val="008C2017"/>
    <w:rsid w:val="008C2F9B"/>
    <w:rsid w:val="00925C1D"/>
    <w:rsid w:val="00927029"/>
    <w:rsid w:val="00932D40"/>
    <w:rsid w:val="00935266"/>
    <w:rsid w:val="009844E3"/>
    <w:rsid w:val="0099016B"/>
    <w:rsid w:val="00995AD8"/>
    <w:rsid w:val="009A2842"/>
    <w:rsid w:val="009C3AA7"/>
    <w:rsid w:val="009C4DA7"/>
    <w:rsid w:val="009D0503"/>
    <w:rsid w:val="00A169A6"/>
    <w:rsid w:val="00A17BAD"/>
    <w:rsid w:val="00A31A2C"/>
    <w:rsid w:val="00A86AB8"/>
    <w:rsid w:val="00AF49BD"/>
    <w:rsid w:val="00B070FB"/>
    <w:rsid w:val="00B7325B"/>
    <w:rsid w:val="00B87590"/>
    <w:rsid w:val="00BA1427"/>
    <w:rsid w:val="00BB3C1D"/>
    <w:rsid w:val="00BF2181"/>
    <w:rsid w:val="00C02A66"/>
    <w:rsid w:val="00C421B5"/>
    <w:rsid w:val="00C82DB2"/>
    <w:rsid w:val="00C97CC3"/>
    <w:rsid w:val="00CA0AD6"/>
    <w:rsid w:val="00CC011C"/>
    <w:rsid w:val="00CD01F0"/>
    <w:rsid w:val="00CF0AAF"/>
    <w:rsid w:val="00D03C1E"/>
    <w:rsid w:val="00D17E30"/>
    <w:rsid w:val="00D31334"/>
    <w:rsid w:val="00D9015B"/>
    <w:rsid w:val="00DA6ACD"/>
    <w:rsid w:val="00DB0051"/>
    <w:rsid w:val="00DC5AA4"/>
    <w:rsid w:val="00E03103"/>
    <w:rsid w:val="00E10E41"/>
    <w:rsid w:val="00E60113"/>
    <w:rsid w:val="00E70751"/>
    <w:rsid w:val="00EA6281"/>
    <w:rsid w:val="00EC650D"/>
    <w:rsid w:val="00F44F9E"/>
    <w:rsid w:val="00F6592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195C9DC-0A7B-47AB-B18E-507737C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6592E"/>
    <w:pPr>
      <w:keepNext/>
      <w:outlineLvl w:val="0"/>
    </w:pPr>
    <w:rPr>
      <w:rFonts w:ascii="Times New Roman" w:eastAsia="Arial Unicode MS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F6592E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Ayres@health.m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mo.gov/lab/courierservices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a.Strope@health.mo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m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6661-335E-44AE-AB30-A17A69A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1778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Clark, Jody</cp:lastModifiedBy>
  <cp:revision>2</cp:revision>
  <cp:lastPrinted>2017-11-02T14:20:00Z</cp:lastPrinted>
  <dcterms:created xsi:type="dcterms:W3CDTF">2019-04-02T20:48:00Z</dcterms:created>
  <dcterms:modified xsi:type="dcterms:W3CDTF">2019-04-02T20:48:00Z</dcterms:modified>
</cp:coreProperties>
</file>