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674D7B37" w:rsidR="001D7B63" w:rsidRPr="00DE2676" w:rsidRDefault="002539E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Revvity</w:t>
            </w:r>
            <w:proofErr w:type="spellEnd"/>
            <w:r w:rsidR="006C1003" w:rsidRPr="00DE2676">
              <w:rPr>
                <w:bCs/>
                <w:sz w:val="28"/>
                <w:szCs w:val="28"/>
              </w:rPr>
              <w:t xml:space="preserve"> Maintenance Agreement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DE2676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65E1CCD6" w14:textId="196B89B4" w:rsidR="006C1003" w:rsidRPr="00DE2676" w:rsidRDefault="002539E9" w:rsidP="00DE2676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Revvity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C1003" w:rsidRPr="00DE2676">
              <w:rPr>
                <w:sz w:val="28"/>
                <w:szCs w:val="28"/>
              </w:rPr>
              <w:t>Maintenance Agreement for the Department of Health and Senior Service, State Public Health Laboratory for the following equipment:</w:t>
            </w:r>
          </w:p>
          <w:p w14:paraId="0AC818DB" w14:textId="3517B5B0" w:rsidR="006C1003" w:rsidRPr="00712A2D" w:rsidRDefault="00712A2D" w:rsidP="009751F4">
            <w:pPr>
              <w:rPr>
                <w:b/>
                <w:bCs/>
                <w:sz w:val="24"/>
                <w:szCs w:val="24"/>
              </w:rPr>
            </w:pPr>
            <w:r w:rsidRPr="00712A2D">
              <w:rPr>
                <w:b/>
                <w:bCs/>
                <w:sz w:val="24"/>
                <w:szCs w:val="24"/>
              </w:rPr>
              <w:t>Tri-Carb 3180TR, serial number DG08095383</w:t>
            </w:r>
          </w:p>
          <w:p w14:paraId="0660A9FF" w14:textId="77777777" w:rsidR="00712A2D" w:rsidRDefault="00712A2D" w:rsidP="009751F4">
            <w:pPr>
              <w:rPr>
                <w:sz w:val="28"/>
                <w:szCs w:val="28"/>
              </w:rPr>
            </w:pPr>
          </w:p>
          <w:p w14:paraId="7F49C096" w14:textId="69A1FC80" w:rsidR="006B4826" w:rsidRPr="00DE2676" w:rsidRDefault="006C1003" w:rsidP="009751F4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 xml:space="preserve">The Contractor’s staff shall provide the maintenance services as outlined herein. Repairs shall be made with original manufacturer’s parts by </w:t>
            </w:r>
            <w:proofErr w:type="spellStart"/>
            <w:r w:rsidR="002539E9">
              <w:rPr>
                <w:sz w:val="28"/>
                <w:szCs w:val="28"/>
              </w:rPr>
              <w:t>Revvity</w:t>
            </w:r>
            <w:proofErr w:type="spellEnd"/>
            <w:r w:rsidRPr="00DE2676">
              <w:rPr>
                <w:sz w:val="28"/>
                <w:szCs w:val="28"/>
              </w:rPr>
              <w:t xml:space="preserve"> factory trained and certified engineers. There shall be no third-party services. Subcontracting services is not allowed.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70F697AF" w:rsidR="00180F47" w:rsidRPr="00DE2676" w:rsidRDefault="002539E9" w:rsidP="008037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May 22, 2025, through May 21, 2026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DE2676" w:rsidRDefault="00180F47" w:rsidP="00803771">
            <w:pPr>
              <w:rPr>
                <w:sz w:val="28"/>
                <w:szCs w:val="28"/>
              </w:rPr>
            </w:pPr>
          </w:p>
        </w:tc>
      </w:tr>
      <w:tr w:rsidR="00CF7D53" w:rsidRPr="00D62123" w14:paraId="321D9A62" w14:textId="77777777" w:rsidTr="00866271">
        <w:tc>
          <w:tcPr>
            <w:tcW w:w="2520" w:type="dxa"/>
          </w:tcPr>
          <w:p w14:paraId="14768546" w14:textId="77777777" w:rsidR="00CF7D53" w:rsidRPr="00866271" w:rsidRDefault="00CF7D53" w:rsidP="00CF7D5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66BBB125" w:rsidR="00CF7D53" w:rsidRPr="00DE2676" w:rsidRDefault="00CF7D53" w:rsidP="00CF7D53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>Two (2)</w:t>
            </w:r>
            <w:r>
              <w:rPr>
                <w:sz w:val="28"/>
                <w:szCs w:val="28"/>
              </w:rPr>
              <w:t xml:space="preserve"> one-year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DE2676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DE2676" w:rsidRDefault="00A84859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051D6BFE" w:rsidR="00180F47" w:rsidRPr="00DE2676" w:rsidRDefault="00253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Revvity</w:t>
            </w:r>
            <w:proofErr w:type="spellEnd"/>
            <w:r w:rsidR="003E4D20">
              <w:rPr>
                <w:sz w:val="28"/>
                <w:szCs w:val="28"/>
              </w:rPr>
              <w:t xml:space="preserve"> Health Sciences, Inc.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2F3192AB" w:rsidR="00180F47" w:rsidRPr="00DE2676" w:rsidRDefault="002539E9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DE2676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02D82511" w:rsidR="00180F47" w:rsidRPr="00DE2676" w:rsidRDefault="00DE2676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>573-751-6</w:t>
            </w:r>
            <w:r w:rsidR="002539E9">
              <w:rPr>
                <w:sz w:val="28"/>
                <w:szCs w:val="28"/>
              </w:rPr>
              <w:t>021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2C77E971" w:rsidR="00866271" w:rsidRPr="00866271" w:rsidRDefault="00A95531">
            <w:pPr>
              <w:rPr>
                <w:sz w:val="28"/>
                <w:szCs w:val="28"/>
              </w:rPr>
            </w:pPr>
            <w:hyperlink r:id="rId5" w:history="1">
              <w:r w:rsidR="002539E9" w:rsidRPr="00531572">
                <w:rPr>
                  <w:rStyle w:val="Hyperlink"/>
                  <w:sz w:val="28"/>
                  <w:szCs w:val="28"/>
                </w:rPr>
                <w:t>Carol.Sturm@health.mo.gov</w:t>
              </w:r>
            </w:hyperlink>
            <w:r w:rsidR="00DE2676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0F9EDDD5" w:rsidR="00495404" w:rsidRPr="00866271" w:rsidRDefault="00DE2676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SFS DHSS-FY25-</w:t>
            </w:r>
            <w:r w:rsidR="00A95531">
              <w:rPr>
                <w:sz w:val="28"/>
                <w:szCs w:val="28"/>
              </w:rPr>
              <w:t>0032</w:t>
            </w:r>
            <w:r w:rsidR="00AC3464">
              <w:rPr>
                <w:sz w:val="28"/>
                <w:szCs w:val="28"/>
              </w:rPr>
              <w:t>-SL</w:t>
            </w:r>
          </w:p>
        </w:tc>
      </w:tr>
    </w:tbl>
    <w:p w14:paraId="2A8F5060" w14:textId="77777777" w:rsidR="001D7B63" w:rsidRPr="00D62123" w:rsidRDefault="001D7B63" w:rsidP="00DE2676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4692F"/>
    <w:rsid w:val="00180F47"/>
    <w:rsid w:val="001D7B63"/>
    <w:rsid w:val="002138A7"/>
    <w:rsid w:val="0022407F"/>
    <w:rsid w:val="002539E9"/>
    <w:rsid w:val="00266580"/>
    <w:rsid w:val="002E3CFA"/>
    <w:rsid w:val="003E4D20"/>
    <w:rsid w:val="0049408A"/>
    <w:rsid w:val="00495404"/>
    <w:rsid w:val="00582B0D"/>
    <w:rsid w:val="0059553F"/>
    <w:rsid w:val="005C3F8E"/>
    <w:rsid w:val="00631586"/>
    <w:rsid w:val="00680931"/>
    <w:rsid w:val="00682847"/>
    <w:rsid w:val="006B4826"/>
    <w:rsid w:val="006C1003"/>
    <w:rsid w:val="006F2E6D"/>
    <w:rsid w:val="00712A2D"/>
    <w:rsid w:val="00756A57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A95531"/>
    <w:rsid w:val="00AC3464"/>
    <w:rsid w:val="00BA68D0"/>
    <w:rsid w:val="00C472B9"/>
    <w:rsid w:val="00C807E3"/>
    <w:rsid w:val="00CF7D53"/>
    <w:rsid w:val="00D43A8F"/>
    <w:rsid w:val="00D62123"/>
    <w:rsid w:val="00DB72E9"/>
    <w:rsid w:val="00DE2676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ol.Sturm@health.m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70C5-620D-4F19-A6C0-15FA7274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8</cp:revision>
  <cp:lastPrinted>2024-10-01T18:43:00Z</cp:lastPrinted>
  <dcterms:created xsi:type="dcterms:W3CDTF">2025-02-18T22:24:00Z</dcterms:created>
  <dcterms:modified xsi:type="dcterms:W3CDTF">2025-03-18T14:20:00Z</dcterms:modified>
</cp:coreProperties>
</file>