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51678B3B" w:rsidR="001D7B63" w:rsidRPr="00866271" w:rsidRDefault="00C06931">
            <w:pPr>
              <w:rPr>
                <w:sz w:val="28"/>
                <w:szCs w:val="28"/>
              </w:rPr>
            </w:pPr>
            <w:r w:rsidRPr="00C06931">
              <w:rPr>
                <w:sz w:val="28"/>
                <w:szCs w:val="28"/>
              </w:rPr>
              <w:t xml:space="preserve">Training, Education, Assistance, Mentorship </w:t>
            </w:r>
            <w:r>
              <w:rPr>
                <w:sz w:val="28"/>
                <w:szCs w:val="28"/>
              </w:rPr>
              <w:t>a</w:t>
            </w:r>
            <w:r w:rsidRPr="00C06931">
              <w:rPr>
                <w:sz w:val="28"/>
                <w:szCs w:val="28"/>
              </w:rPr>
              <w:t>nd Support Infection Control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7F49C096" w14:textId="1F3C434F" w:rsidR="006B4826" w:rsidRPr="00866271" w:rsidRDefault="00C06931" w:rsidP="009751F4">
            <w:pPr>
              <w:rPr>
                <w:sz w:val="28"/>
                <w:szCs w:val="28"/>
              </w:rPr>
            </w:pPr>
            <w:r w:rsidRPr="00C06931">
              <w:rPr>
                <w:sz w:val="28"/>
                <w:szCs w:val="28"/>
              </w:rPr>
              <w:t>This contract continues what was started on the first contract, this contract will maintain and build upon what has been implemented in M</w:t>
            </w:r>
            <w:r>
              <w:rPr>
                <w:sz w:val="28"/>
                <w:szCs w:val="28"/>
              </w:rPr>
              <w:t>issouri</w:t>
            </w:r>
            <w:r w:rsidRPr="00C06931">
              <w:rPr>
                <w:sz w:val="28"/>
                <w:szCs w:val="28"/>
              </w:rPr>
              <w:t xml:space="preserve"> schools</w:t>
            </w:r>
            <w:r>
              <w:rPr>
                <w:sz w:val="28"/>
                <w:szCs w:val="28"/>
              </w:rPr>
              <w:t xml:space="preserve"> already</w:t>
            </w:r>
            <w:r w:rsidRPr="00C06931">
              <w:rPr>
                <w:sz w:val="28"/>
                <w:szCs w:val="28"/>
              </w:rPr>
              <w:t>. The vendor is the sole owner of the TEAMS tool and was funding by the Centers for Disease Control and Prevention to help prevent infectious diseases in schools.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37982809" w:rsidR="00180F47" w:rsidRPr="00866271" w:rsidRDefault="00C06931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Award through June 30, </w:t>
            </w:r>
            <w:proofErr w:type="gramStart"/>
            <w:r>
              <w:rPr>
                <w:sz w:val="28"/>
                <w:szCs w:val="28"/>
              </w:rPr>
              <w:t>2025</w:t>
            </w:r>
            <w:proofErr w:type="gramEnd"/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6BBFAE45" w:rsidR="00180F47" w:rsidRPr="00866271" w:rsidRDefault="00C06931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one (1) year renewals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7E3BE4E8" w:rsidR="00180F47" w:rsidRPr="00866271" w:rsidRDefault="00C06931">
            <w:pPr>
              <w:rPr>
                <w:sz w:val="28"/>
                <w:szCs w:val="28"/>
              </w:rPr>
            </w:pPr>
            <w:r w:rsidRPr="00C06931">
              <w:rPr>
                <w:sz w:val="28"/>
                <w:szCs w:val="28"/>
              </w:rPr>
              <w:t>Kickstand Health Consulting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076EF729" w:rsidR="00180F47" w:rsidRPr="00866271" w:rsidRDefault="00C06931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 Ridenhour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53DD4728" w:rsidR="00180F47" w:rsidRPr="00866271" w:rsidRDefault="00C069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573-751-6026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2404675B" w:rsidR="00866271" w:rsidRPr="00866271" w:rsidRDefault="00C06931">
            <w:pPr>
              <w:rPr>
                <w:sz w:val="28"/>
                <w:szCs w:val="28"/>
              </w:rPr>
            </w:pPr>
            <w:hyperlink r:id="rId4" w:history="1">
              <w:r w:rsidRPr="00842108">
                <w:rPr>
                  <w:rStyle w:val="Hyperlink"/>
                  <w:sz w:val="28"/>
                  <w:szCs w:val="28"/>
                </w:rPr>
                <w:t>Nathan.Ridenhour@health.mo.gov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5AEDF096" w:rsidR="00495404" w:rsidRPr="00866271" w:rsidRDefault="008F5696" w:rsidP="006F2E6D">
            <w:pPr>
              <w:rPr>
                <w:sz w:val="28"/>
                <w:szCs w:val="28"/>
              </w:rPr>
            </w:pPr>
            <w:r w:rsidRPr="008F5696">
              <w:rPr>
                <w:sz w:val="28"/>
                <w:szCs w:val="28"/>
              </w:rPr>
              <w:t>DHSS-FY25-0020-SL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80F47"/>
    <w:rsid w:val="001D7B63"/>
    <w:rsid w:val="0022407F"/>
    <w:rsid w:val="00266580"/>
    <w:rsid w:val="002E3CFA"/>
    <w:rsid w:val="0049408A"/>
    <w:rsid w:val="00495404"/>
    <w:rsid w:val="00582B0D"/>
    <w:rsid w:val="0059553F"/>
    <w:rsid w:val="005C3F8E"/>
    <w:rsid w:val="00631586"/>
    <w:rsid w:val="00680931"/>
    <w:rsid w:val="00682847"/>
    <w:rsid w:val="006B4826"/>
    <w:rsid w:val="006F2E6D"/>
    <w:rsid w:val="00803771"/>
    <w:rsid w:val="00866271"/>
    <w:rsid w:val="008861BE"/>
    <w:rsid w:val="008F5696"/>
    <w:rsid w:val="009460BE"/>
    <w:rsid w:val="009751F4"/>
    <w:rsid w:val="00995EA4"/>
    <w:rsid w:val="00A456EA"/>
    <w:rsid w:val="00A84859"/>
    <w:rsid w:val="00A8761F"/>
    <w:rsid w:val="00BA68D0"/>
    <w:rsid w:val="00C06931"/>
    <w:rsid w:val="00D43A8F"/>
    <w:rsid w:val="00D62123"/>
    <w:rsid w:val="00DB72E9"/>
    <w:rsid w:val="00E27B6E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han.Ridenhour@health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Ridenhour, Nathan</cp:lastModifiedBy>
  <cp:revision>4</cp:revision>
  <cp:lastPrinted>2024-10-01T18:43:00Z</cp:lastPrinted>
  <dcterms:created xsi:type="dcterms:W3CDTF">2025-02-13T14:02:00Z</dcterms:created>
  <dcterms:modified xsi:type="dcterms:W3CDTF">2025-02-13T14:09:00Z</dcterms:modified>
</cp:coreProperties>
</file>