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5" w:type="dxa"/>
        <w:tblInd w:w="-450" w:type="dxa"/>
        <w:tblLayout w:type="fixed"/>
        <w:tblLook w:val="0000" w:firstRow="0" w:lastRow="0" w:firstColumn="0" w:lastColumn="0" w:noHBand="0" w:noVBand="0"/>
      </w:tblPr>
      <w:tblGrid>
        <w:gridCol w:w="2520"/>
        <w:gridCol w:w="7455"/>
      </w:tblGrid>
      <w:tr w:rsidR="00DB72E9" w:rsidRPr="00D62123" w14:paraId="042FFC36" w14:textId="77777777" w:rsidTr="00995EA4">
        <w:tc>
          <w:tcPr>
            <w:tcW w:w="9975" w:type="dxa"/>
            <w:gridSpan w:val="2"/>
            <w:shd w:val="clear" w:color="auto" w:fill="B8CCE4" w:themeFill="accent1" w:themeFillTint="66"/>
          </w:tcPr>
          <w:p w14:paraId="356F26CB" w14:textId="77777777" w:rsidR="00DB72E9" w:rsidRPr="00D62123" w:rsidRDefault="00DB72E9" w:rsidP="00DB72E9">
            <w:pPr>
              <w:jc w:val="center"/>
              <w:rPr>
                <w:sz w:val="28"/>
              </w:rPr>
            </w:pPr>
            <w:r w:rsidRPr="00DB72E9">
              <w:rPr>
                <w:b/>
                <w:sz w:val="44"/>
              </w:rPr>
              <w:t>Single Feasible Source Purchase</w:t>
            </w:r>
          </w:p>
        </w:tc>
      </w:tr>
      <w:tr w:rsidR="00FD2F73" w:rsidRPr="00D62123" w14:paraId="43229DC3" w14:textId="77777777" w:rsidTr="00995EA4">
        <w:tc>
          <w:tcPr>
            <w:tcW w:w="9975" w:type="dxa"/>
            <w:gridSpan w:val="2"/>
          </w:tcPr>
          <w:p w14:paraId="3FEB5B84" w14:textId="77777777" w:rsidR="00FD2F73" w:rsidRPr="00D62123" w:rsidRDefault="00FD2F73">
            <w:pPr>
              <w:rPr>
                <w:sz w:val="28"/>
              </w:rPr>
            </w:pPr>
          </w:p>
        </w:tc>
      </w:tr>
      <w:tr w:rsidR="001D7B63" w:rsidRPr="00D62123" w14:paraId="3592B410" w14:textId="77777777" w:rsidTr="00866271">
        <w:tc>
          <w:tcPr>
            <w:tcW w:w="2520" w:type="dxa"/>
          </w:tcPr>
          <w:p w14:paraId="220B0E45" w14:textId="77777777" w:rsidR="001D7B63" w:rsidRPr="00866271" w:rsidRDefault="001D7B63">
            <w:pPr>
              <w:rPr>
                <w:sz w:val="28"/>
                <w:szCs w:val="28"/>
              </w:rPr>
            </w:pPr>
            <w:r w:rsidRPr="00866271">
              <w:rPr>
                <w:sz w:val="28"/>
                <w:szCs w:val="28"/>
              </w:rPr>
              <w:t>Title:</w:t>
            </w:r>
          </w:p>
        </w:tc>
        <w:tc>
          <w:tcPr>
            <w:tcW w:w="7455" w:type="dxa"/>
          </w:tcPr>
          <w:p w14:paraId="1D2F2B09" w14:textId="1BFE0B18" w:rsidR="001D7B63" w:rsidRPr="00866271" w:rsidRDefault="00496A34">
            <w:pPr>
              <w:rPr>
                <w:sz w:val="28"/>
                <w:szCs w:val="28"/>
              </w:rPr>
            </w:pPr>
            <w:proofErr w:type="spellStart"/>
            <w:r w:rsidRPr="00496A34">
              <w:rPr>
                <w:sz w:val="28"/>
                <w:szCs w:val="28"/>
              </w:rPr>
              <w:t>Help</w:t>
            </w:r>
            <w:r>
              <w:rPr>
                <w:sz w:val="28"/>
                <w:szCs w:val="28"/>
              </w:rPr>
              <w:t>V</w:t>
            </w:r>
            <w:r w:rsidRPr="00496A34">
              <w:rPr>
                <w:sz w:val="28"/>
                <w:szCs w:val="28"/>
              </w:rPr>
              <w:t>ul</w:t>
            </w:r>
            <w:proofErr w:type="spellEnd"/>
            <w:r w:rsidRPr="00496A34">
              <w:rPr>
                <w:sz w:val="28"/>
                <w:szCs w:val="28"/>
              </w:rPr>
              <w:t xml:space="preserve"> Services</w:t>
            </w:r>
          </w:p>
        </w:tc>
      </w:tr>
      <w:tr w:rsidR="001D7B63" w:rsidRPr="00D62123" w14:paraId="5DD252B3" w14:textId="77777777" w:rsidTr="00995EA4">
        <w:tc>
          <w:tcPr>
            <w:tcW w:w="9975" w:type="dxa"/>
            <w:gridSpan w:val="2"/>
          </w:tcPr>
          <w:p w14:paraId="5812A1B4" w14:textId="77777777" w:rsidR="001D7B63" w:rsidRPr="00866271" w:rsidRDefault="001D7B63">
            <w:pPr>
              <w:rPr>
                <w:sz w:val="28"/>
                <w:szCs w:val="28"/>
              </w:rPr>
            </w:pPr>
          </w:p>
        </w:tc>
      </w:tr>
      <w:tr w:rsidR="001D7B63" w:rsidRPr="00D62123" w14:paraId="4B6E3B72" w14:textId="77777777" w:rsidTr="00866271">
        <w:trPr>
          <w:trHeight w:val="1575"/>
        </w:trPr>
        <w:tc>
          <w:tcPr>
            <w:tcW w:w="2520" w:type="dxa"/>
          </w:tcPr>
          <w:p w14:paraId="68BB94D6" w14:textId="77777777" w:rsidR="001D7B63" w:rsidRPr="00866271" w:rsidRDefault="001D7B63">
            <w:pPr>
              <w:rPr>
                <w:sz w:val="28"/>
                <w:szCs w:val="28"/>
              </w:rPr>
            </w:pPr>
            <w:r w:rsidRPr="00866271">
              <w:rPr>
                <w:sz w:val="28"/>
                <w:szCs w:val="28"/>
              </w:rPr>
              <w:t>Description:</w:t>
            </w:r>
          </w:p>
        </w:tc>
        <w:tc>
          <w:tcPr>
            <w:tcW w:w="7455" w:type="dxa"/>
          </w:tcPr>
          <w:p w14:paraId="7F49C096" w14:textId="6C552040" w:rsidR="006B4826" w:rsidRPr="00866271" w:rsidRDefault="00496A34" w:rsidP="009751F4">
            <w:pPr>
              <w:rPr>
                <w:sz w:val="28"/>
                <w:szCs w:val="28"/>
              </w:rPr>
            </w:pPr>
            <w:proofErr w:type="spellStart"/>
            <w:r w:rsidRPr="00496A34">
              <w:rPr>
                <w:sz w:val="28"/>
                <w:szCs w:val="28"/>
              </w:rPr>
              <w:t>Elderscan</w:t>
            </w:r>
            <w:proofErr w:type="spellEnd"/>
            <w:r w:rsidRPr="00496A34">
              <w:rPr>
                <w:sz w:val="28"/>
                <w:szCs w:val="28"/>
              </w:rPr>
              <w:t xml:space="preserve"> LLC</w:t>
            </w:r>
            <w:r>
              <w:rPr>
                <w:sz w:val="28"/>
                <w:szCs w:val="28"/>
              </w:rPr>
              <w:t xml:space="preserve">’s platform is the only platform that is built for Adult Protective Services (APS) to help combat financial abuse in the elderly population. It was created in conjunction with APS to provide evidence to assist in investigations. </w:t>
            </w:r>
          </w:p>
        </w:tc>
      </w:tr>
      <w:tr w:rsidR="00180F47" w:rsidRPr="00D62123" w14:paraId="04470F6A" w14:textId="77777777" w:rsidTr="00995EA4">
        <w:tc>
          <w:tcPr>
            <w:tcW w:w="9975" w:type="dxa"/>
            <w:gridSpan w:val="2"/>
          </w:tcPr>
          <w:p w14:paraId="5EEB4F1E" w14:textId="77777777" w:rsidR="00180F47" w:rsidRPr="00866271" w:rsidRDefault="00180F47" w:rsidP="009751F4">
            <w:pPr>
              <w:rPr>
                <w:sz w:val="28"/>
                <w:szCs w:val="28"/>
              </w:rPr>
            </w:pPr>
          </w:p>
        </w:tc>
      </w:tr>
      <w:tr w:rsidR="00180F47" w:rsidRPr="00D62123" w14:paraId="171E783B" w14:textId="77777777" w:rsidTr="00866271">
        <w:tc>
          <w:tcPr>
            <w:tcW w:w="2520" w:type="dxa"/>
          </w:tcPr>
          <w:p w14:paraId="3526FCFF" w14:textId="77777777" w:rsidR="00180F47" w:rsidRPr="00866271" w:rsidRDefault="00180F47" w:rsidP="00803771">
            <w:pPr>
              <w:rPr>
                <w:sz w:val="28"/>
                <w:szCs w:val="28"/>
              </w:rPr>
            </w:pPr>
            <w:r w:rsidRPr="00866271">
              <w:rPr>
                <w:sz w:val="28"/>
                <w:szCs w:val="28"/>
              </w:rPr>
              <w:t>Contract Period:</w:t>
            </w:r>
          </w:p>
        </w:tc>
        <w:tc>
          <w:tcPr>
            <w:tcW w:w="7455" w:type="dxa"/>
          </w:tcPr>
          <w:p w14:paraId="33C491E9" w14:textId="7945781C" w:rsidR="00180F47" w:rsidRPr="00866271" w:rsidRDefault="00496A34" w:rsidP="00803771">
            <w:pPr>
              <w:rPr>
                <w:sz w:val="28"/>
                <w:szCs w:val="28"/>
              </w:rPr>
            </w:pPr>
            <w:r>
              <w:rPr>
                <w:sz w:val="28"/>
                <w:szCs w:val="28"/>
              </w:rPr>
              <w:t xml:space="preserve">July 1, </w:t>
            </w:r>
            <w:proofErr w:type="gramStart"/>
            <w:r>
              <w:rPr>
                <w:sz w:val="28"/>
                <w:szCs w:val="28"/>
              </w:rPr>
              <w:t>2025</w:t>
            </w:r>
            <w:proofErr w:type="gramEnd"/>
            <w:r>
              <w:rPr>
                <w:sz w:val="28"/>
                <w:szCs w:val="28"/>
              </w:rPr>
              <w:t xml:space="preserve"> through June 30, 2026</w:t>
            </w:r>
            <w:r w:rsidR="00A84859" w:rsidRPr="00866271">
              <w:rPr>
                <w:sz w:val="28"/>
                <w:szCs w:val="28"/>
              </w:rPr>
              <w:t xml:space="preserve"> </w:t>
            </w:r>
          </w:p>
        </w:tc>
      </w:tr>
      <w:tr w:rsidR="00180F47" w:rsidRPr="00D62123" w14:paraId="52C96D64" w14:textId="77777777" w:rsidTr="00995EA4">
        <w:tc>
          <w:tcPr>
            <w:tcW w:w="9975" w:type="dxa"/>
            <w:gridSpan w:val="2"/>
          </w:tcPr>
          <w:p w14:paraId="06F72815" w14:textId="77777777" w:rsidR="00180F47" w:rsidRPr="00866271" w:rsidRDefault="00180F47" w:rsidP="00803771">
            <w:pPr>
              <w:rPr>
                <w:sz w:val="28"/>
                <w:szCs w:val="28"/>
              </w:rPr>
            </w:pPr>
          </w:p>
        </w:tc>
      </w:tr>
      <w:tr w:rsidR="00180F47" w:rsidRPr="00D62123" w14:paraId="321D9A62" w14:textId="77777777" w:rsidTr="00866271">
        <w:tc>
          <w:tcPr>
            <w:tcW w:w="2520" w:type="dxa"/>
          </w:tcPr>
          <w:p w14:paraId="14768546" w14:textId="77777777" w:rsidR="00180F47" w:rsidRPr="00866271" w:rsidRDefault="00180F47" w:rsidP="00180F47">
            <w:pPr>
              <w:rPr>
                <w:sz w:val="28"/>
                <w:szCs w:val="28"/>
              </w:rPr>
            </w:pPr>
            <w:r w:rsidRPr="00866271">
              <w:rPr>
                <w:sz w:val="28"/>
                <w:szCs w:val="28"/>
              </w:rPr>
              <w:t>Renewal Options:</w:t>
            </w:r>
          </w:p>
        </w:tc>
        <w:tc>
          <w:tcPr>
            <w:tcW w:w="7455" w:type="dxa"/>
          </w:tcPr>
          <w:p w14:paraId="21E39025" w14:textId="35A25903" w:rsidR="00180F47" w:rsidRPr="00866271" w:rsidRDefault="00496A34" w:rsidP="00803771">
            <w:pPr>
              <w:rPr>
                <w:sz w:val="28"/>
                <w:szCs w:val="28"/>
              </w:rPr>
            </w:pPr>
            <w:r>
              <w:rPr>
                <w:sz w:val="28"/>
                <w:szCs w:val="28"/>
              </w:rPr>
              <w:t xml:space="preserve">Two </w:t>
            </w:r>
            <w:proofErr w:type="gramStart"/>
            <w:r>
              <w:rPr>
                <w:sz w:val="28"/>
                <w:szCs w:val="28"/>
              </w:rPr>
              <w:t>1 year</w:t>
            </w:r>
            <w:proofErr w:type="gramEnd"/>
            <w:r>
              <w:rPr>
                <w:sz w:val="28"/>
                <w:szCs w:val="28"/>
              </w:rPr>
              <w:t xml:space="preserve"> renewals. </w:t>
            </w:r>
          </w:p>
        </w:tc>
      </w:tr>
      <w:tr w:rsidR="00180F47" w:rsidRPr="00D62123" w14:paraId="21F78BA9" w14:textId="77777777" w:rsidTr="00995EA4">
        <w:tc>
          <w:tcPr>
            <w:tcW w:w="9975" w:type="dxa"/>
            <w:gridSpan w:val="2"/>
          </w:tcPr>
          <w:p w14:paraId="34B86B42" w14:textId="77777777" w:rsidR="00180F47" w:rsidRPr="00866271" w:rsidRDefault="00180F47" w:rsidP="00803771">
            <w:pPr>
              <w:rPr>
                <w:sz w:val="28"/>
                <w:szCs w:val="28"/>
              </w:rPr>
            </w:pPr>
          </w:p>
        </w:tc>
      </w:tr>
      <w:tr w:rsidR="00180F47" w:rsidRPr="00D62123" w14:paraId="0B85D541" w14:textId="77777777" w:rsidTr="00866271">
        <w:tc>
          <w:tcPr>
            <w:tcW w:w="2520" w:type="dxa"/>
          </w:tcPr>
          <w:p w14:paraId="30B58D37" w14:textId="77777777" w:rsidR="00180F47" w:rsidRPr="00866271" w:rsidRDefault="00180F47">
            <w:pPr>
              <w:rPr>
                <w:sz w:val="28"/>
                <w:szCs w:val="28"/>
              </w:rPr>
            </w:pPr>
            <w:r w:rsidRPr="00866271">
              <w:rPr>
                <w:sz w:val="28"/>
                <w:szCs w:val="28"/>
              </w:rPr>
              <w:t>Agency:</w:t>
            </w:r>
          </w:p>
        </w:tc>
        <w:tc>
          <w:tcPr>
            <w:tcW w:w="7455" w:type="dxa"/>
          </w:tcPr>
          <w:p w14:paraId="3FF74103" w14:textId="600BE5EB" w:rsidR="00180F47" w:rsidRPr="00866271" w:rsidRDefault="00A84859">
            <w:pPr>
              <w:rPr>
                <w:sz w:val="28"/>
                <w:szCs w:val="28"/>
              </w:rPr>
            </w:pPr>
            <w:r w:rsidRPr="00866271">
              <w:rPr>
                <w:sz w:val="28"/>
                <w:szCs w:val="28"/>
              </w:rPr>
              <w:t>Department of Health and Senior Services</w:t>
            </w:r>
          </w:p>
        </w:tc>
      </w:tr>
      <w:tr w:rsidR="00180F47" w:rsidRPr="00D62123" w14:paraId="0A55C4EC" w14:textId="77777777" w:rsidTr="00995EA4">
        <w:tc>
          <w:tcPr>
            <w:tcW w:w="9975" w:type="dxa"/>
            <w:gridSpan w:val="2"/>
          </w:tcPr>
          <w:p w14:paraId="2852C4D4" w14:textId="77777777" w:rsidR="00180F47" w:rsidRPr="00866271" w:rsidRDefault="00180F47" w:rsidP="009751F4">
            <w:pPr>
              <w:rPr>
                <w:sz w:val="28"/>
                <w:szCs w:val="28"/>
              </w:rPr>
            </w:pPr>
          </w:p>
        </w:tc>
      </w:tr>
      <w:tr w:rsidR="00180F47" w:rsidRPr="00D62123" w14:paraId="3FA42C2A" w14:textId="77777777" w:rsidTr="00866271">
        <w:tc>
          <w:tcPr>
            <w:tcW w:w="2520" w:type="dxa"/>
          </w:tcPr>
          <w:p w14:paraId="1770454A" w14:textId="77777777" w:rsidR="00180F47" w:rsidRPr="00866271" w:rsidRDefault="00180F47">
            <w:pPr>
              <w:rPr>
                <w:sz w:val="28"/>
                <w:szCs w:val="28"/>
              </w:rPr>
            </w:pPr>
            <w:r w:rsidRPr="00866271">
              <w:rPr>
                <w:sz w:val="28"/>
                <w:szCs w:val="28"/>
              </w:rPr>
              <w:t>Supplier:</w:t>
            </w:r>
          </w:p>
        </w:tc>
        <w:tc>
          <w:tcPr>
            <w:tcW w:w="7455" w:type="dxa"/>
          </w:tcPr>
          <w:p w14:paraId="491EDA29" w14:textId="63EFB921" w:rsidR="00180F47" w:rsidRPr="00866271" w:rsidRDefault="00384DA8">
            <w:pPr>
              <w:rPr>
                <w:sz w:val="28"/>
                <w:szCs w:val="28"/>
              </w:rPr>
            </w:pPr>
            <w:proofErr w:type="spellStart"/>
            <w:r w:rsidRPr="00384DA8">
              <w:rPr>
                <w:sz w:val="28"/>
                <w:szCs w:val="28"/>
              </w:rPr>
              <w:t>Elderscan</w:t>
            </w:r>
            <w:proofErr w:type="spellEnd"/>
            <w:r w:rsidRPr="00384DA8">
              <w:rPr>
                <w:sz w:val="28"/>
                <w:szCs w:val="28"/>
              </w:rPr>
              <w:t xml:space="preserve"> LLC</w:t>
            </w:r>
          </w:p>
        </w:tc>
      </w:tr>
      <w:tr w:rsidR="00180F47" w:rsidRPr="00D62123" w14:paraId="47366127" w14:textId="77777777" w:rsidTr="00995EA4">
        <w:tc>
          <w:tcPr>
            <w:tcW w:w="9975" w:type="dxa"/>
            <w:gridSpan w:val="2"/>
          </w:tcPr>
          <w:p w14:paraId="183F15DC" w14:textId="77777777" w:rsidR="00180F47" w:rsidRPr="00866271" w:rsidRDefault="00180F47" w:rsidP="009751F4">
            <w:pPr>
              <w:rPr>
                <w:sz w:val="28"/>
                <w:szCs w:val="28"/>
              </w:rPr>
            </w:pPr>
          </w:p>
        </w:tc>
      </w:tr>
      <w:tr w:rsidR="00180F47" w:rsidRPr="00D62123" w14:paraId="779131C1" w14:textId="77777777" w:rsidTr="00866271">
        <w:tc>
          <w:tcPr>
            <w:tcW w:w="2520" w:type="dxa"/>
          </w:tcPr>
          <w:p w14:paraId="0C39F2E8" w14:textId="77777777" w:rsidR="00180F47" w:rsidRPr="00866271" w:rsidRDefault="00180F47">
            <w:pPr>
              <w:rPr>
                <w:sz w:val="28"/>
                <w:szCs w:val="28"/>
              </w:rPr>
            </w:pPr>
            <w:r w:rsidRPr="00866271">
              <w:rPr>
                <w:sz w:val="28"/>
                <w:szCs w:val="28"/>
              </w:rPr>
              <w:t>Buyer:</w:t>
            </w:r>
          </w:p>
        </w:tc>
        <w:tc>
          <w:tcPr>
            <w:tcW w:w="7455" w:type="dxa"/>
          </w:tcPr>
          <w:p w14:paraId="26286AAD" w14:textId="1CB2EB62" w:rsidR="00180F47" w:rsidRPr="00866271" w:rsidRDefault="00384DA8" w:rsidP="00180F47">
            <w:pPr>
              <w:rPr>
                <w:sz w:val="28"/>
                <w:szCs w:val="28"/>
              </w:rPr>
            </w:pPr>
            <w:r>
              <w:rPr>
                <w:sz w:val="28"/>
                <w:szCs w:val="28"/>
              </w:rPr>
              <w:t>Nathan Ridenhour</w:t>
            </w:r>
          </w:p>
        </w:tc>
      </w:tr>
      <w:tr w:rsidR="00180F47" w:rsidRPr="00D62123" w14:paraId="54B5FC84" w14:textId="77777777" w:rsidTr="00995EA4">
        <w:tc>
          <w:tcPr>
            <w:tcW w:w="9975" w:type="dxa"/>
            <w:gridSpan w:val="2"/>
          </w:tcPr>
          <w:p w14:paraId="182EC130" w14:textId="77777777" w:rsidR="00180F47" w:rsidRPr="00866271" w:rsidRDefault="00180F47">
            <w:pPr>
              <w:rPr>
                <w:sz w:val="28"/>
                <w:szCs w:val="28"/>
              </w:rPr>
            </w:pPr>
          </w:p>
        </w:tc>
      </w:tr>
      <w:tr w:rsidR="00180F47" w:rsidRPr="00D62123" w14:paraId="4DA18692" w14:textId="77777777" w:rsidTr="00866271">
        <w:tc>
          <w:tcPr>
            <w:tcW w:w="2520" w:type="dxa"/>
          </w:tcPr>
          <w:p w14:paraId="64A548FD" w14:textId="77777777" w:rsidR="00180F47" w:rsidRPr="00866271" w:rsidRDefault="00180F47">
            <w:pPr>
              <w:rPr>
                <w:sz w:val="28"/>
                <w:szCs w:val="28"/>
              </w:rPr>
            </w:pPr>
            <w:r w:rsidRPr="00866271">
              <w:rPr>
                <w:sz w:val="28"/>
                <w:szCs w:val="28"/>
              </w:rPr>
              <w:t>Phone No:</w:t>
            </w:r>
          </w:p>
        </w:tc>
        <w:tc>
          <w:tcPr>
            <w:tcW w:w="7455" w:type="dxa"/>
          </w:tcPr>
          <w:p w14:paraId="33EE0779" w14:textId="18763A79" w:rsidR="00180F47" w:rsidRPr="00866271" w:rsidRDefault="00384DA8">
            <w:pPr>
              <w:rPr>
                <w:sz w:val="28"/>
                <w:szCs w:val="28"/>
              </w:rPr>
            </w:pPr>
            <w:r>
              <w:rPr>
                <w:sz w:val="28"/>
                <w:szCs w:val="28"/>
              </w:rPr>
              <w:t>573-751-6026</w:t>
            </w:r>
          </w:p>
        </w:tc>
      </w:tr>
      <w:tr w:rsidR="00180F47" w:rsidRPr="00D62123" w14:paraId="4D8CC160" w14:textId="77777777" w:rsidTr="00995EA4">
        <w:tc>
          <w:tcPr>
            <w:tcW w:w="9975" w:type="dxa"/>
            <w:gridSpan w:val="2"/>
          </w:tcPr>
          <w:p w14:paraId="48B4722B" w14:textId="77777777" w:rsidR="00180F47" w:rsidRPr="00866271" w:rsidRDefault="00180F47">
            <w:pPr>
              <w:rPr>
                <w:sz w:val="28"/>
                <w:szCs w:val="28"/>
              </w:rPr>
            </w:pPr>
          </w:p>
        </w:tc>
      </w:tr>
      <w:tr w:rsidR="00866271" w:rsidRPr="00D62123" w14:paraId="419A2985" w14:textId="77777777" w:rsidTr="00DE378A">
        <w:tc>
          <w:tcPr>
            <w:tcW w:w="2520" w:type="dxa"/>
          </w:tcPr>
          <w:p w14:paraId="2BE34CFA" w14:textId="77777777" w:rsidR="00866271" w:rsidRPr="00866271" w:rsidRDefault="00866271">
            <w:pPr>
              <w:rPr>
                <w:sz w:val="28"/>
                <w:szCs w:val="28"/>
              </w:rPr>
            </w:pPr>
            <w:r w:rsidRPr="00866271">
              <w:rPr>
                <w:sz w:val="28"/>
                <w:szCs w:val="28"/>
              </w:rPr>
              <w:t>E-Mail:</w:t>
            </w:r>
          </w:p>
        </w:tc>
        <w:tc>
          <w:tcPr>
            <w:tcW w:w="7455" w:type="dxa"/>
          </w:tcPr>
          <w:p w14:paraId="24DCB1B5" w14:textId="2873DC5A" w:rsidR="00866271" w:rsidRPr="00866271" w:rsidRDefault="00384DA8">
            <w:pPr>
              <w:rPr>
                <w:sz w:val="28"/>
                <w:szCs w:val="28"/>
              </w:rPr>
            </w:pPr>
            <w:hyperlink r:id="rId4" w:history="1">
              <w:r w:rsidRPr="00DC6987">
                <w:rPr>
                  <w:rStyle w:val="Hyperlink"/>
                  <w:sz w:val="28"/>
                  <w:szCs w:val="28"/>
                </w:rPr>
                <w:t>Nathan.Ridenhour@health.mo.gov</w:t>
              </w:r>
            </w:hyperlink>
            <w:r>
              <w:rPr>
                <w:sz w:val="28"/>
                <w:szCs w:val="28"/>
              </w:rPr>
              <w:t xml:space="preserve"> </w:t>
            </w:r>
          </w:p>
        </w:tc>
      </w:tr>
      <w:tr w:rsidR="00180F47" w:rsidRPr="00D62123" w14:paraId="3EC3B4A4" w14:textId="77777777" w:rsidTr="00995EA4">
        <w:tc>
          <w:tcPr>
            <w:tcW w:w="9975" w:type="dxa"/>
            <w:gridSpan w:val="2"/>
          </w:tcPr>
          <w:p w14:paraId="5237B911" w14:textId="77777777" w:rsidR="00180F47" w:rsidRPr="00866271" w:rsidRDefault="00180F47" w:rsidP="00803771">
            <w:pPr>
              <w:rPr>
                <w:sz w:val="28"/>
                <w:szCs w:val="28"/>
              </w:rPr>
            </w:pPr>
          </w:p>
        </w:tc>
      </w:tr>
      <w:tr w:rsidR="00495404" w:rsidRPr="00D62123" w14:paraId="26BFE3B5" w14:textId="77777777" w:rsidTr="00866271">
        <w:tc>
          <w:tcPr>
            <w:tcW w:w="2520" w:type="dxa"/>
          </w:tcPr>
          <w:p w14:paraId="64F970A9" w14:textId="77777777" w:rsidR="00495404" w:rsidRPr="00866271" w:rsidRDefault="00495404" w:rsidP="00495404">
            <w:pPr>
              <w:rPr>
                <w:sz w:val="28"/>
                <w:szCs w:val="28"/>
              </w:rPr>
            </w:pPr>
            <w:r w:rsidRPr="00866271">
              <w:rPr>
                <w:sz w:val="28"/>
                <w:szCs w:val="28"/>
              </w:rPr>
              <w:t>SFS No.:</w:t>
            </w:r>
          </w:p>
        </w:tc>
        <w:tc>
          <w:tcPr>
            <w:tcW w:w="7455" w:type="dxa"/>
          </w:tcPr>
          <w:p w14:paraId="720DB548" w14:textId="77777777" w:rsidR="001C01AB" w:rsidRPr="001C01AB" w:rsidRDefault="001C01AB" w:rsidP="001C01AB">
            <w:pPr>
              <w:rPr>
                <w:sz w:val="28"/>
                <w:szCs w:val="28"/>
              </w:rPr>
            </w:pPr>
            <w:r w:rsidRPr="001C01AB">
              <w:rPr>
                <w:sz w:val="28"/>
                <w:szCs w:val="28"/>
              </w:rPr>
              <w:t>DHSS-FY25-0033-SL</w:t>
            </w:r>
          </w:p>
          <w:p w14:paraId="5063FBCE" w14:textId="0565D8CE" w:rsidR="00495404" w:rsidRPr="00866271" w:rsidRDefault="00495404" w:rsidP="006F2E6D">
            <w:pPr>
              <w:rPr>
                <w:sz w:val="28"/>
                <w:szCs w:val="28"/>
              </w:rPr>
            </w:pPr>
          </w:p>
        </w:tc>
      </w:tr>
    </w:tbl>
    <w:p w14:paraId="2A8F5060" w14:textId="77777777" w:rsidR="001D7B63" w:rsidRPr="00D62123" w:rsidRDefault="001D7B63">
      <w:pPr>
        <w:tabs>
          <w:tab w:val="left" w:pos="2160"/>
          <w:tab w:val="left" w:pos="4860"/>
          <w:tab w:val="left" w:pos="5940"/>
        </w:tabs>
        <w:spacing w:line="360" w:lineRule="auto"/>
        <w:rPr>
          <w:color w:val="000000"/>
          <w:sz w:val="28"/>
        </w:rPr>
      </w:pPr>
    </w:p>
    <w:sectPr w:rsidR="001D7B63" w:rsidRPr="00D62123" w:rsidSect="00995EA4">
      <w:endnotePr>
        <w:numFmt w:val="decimal"/>
      </w:endnotePr>
      <w:pgSz w:w="12240" w:h="15840"/>
      <w:pgMar w:top="720" w:right="1440" w:bottom="720" w:left="1440" w:header="1440" w:footer="144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931"/>
    <w:rsid w:val="0003633B"/>
    <w:rsid w:val="00180F47"/>
    <w:rsid w:val="001C01AB"/>
    <w:rsid w:val="001D7B63"/>
    <w:rsid w:val="0022407F"/>
    <w:rsid w:val="00266580"/>
    <w:rsid w:val="002E3CFA"/>
    <w:rsid w:val="00384DA8"/>
    <w:rsid w:val="00450136"/>
    <w:rsid w:val="0049408A"/>
    <w:rsid w:val="00495404"/>
    <w:rsid w:val="00496A34"/>
    <w:rsid w:val="00582B0D"/>
    <w:rsid w:val="0059553F"/>
    <w:rsid w:val="005C3F8E"/>
    <w:rsid w:val="005D2E32"/>
    <w:rsid w:val="00631586"/>
    <w:rsid w:val="00680931"/>
    <w:rsid w:val="00682847"/>
    <w:rsid w:val="006B4826"/>
    <w:rsid w:val="006F2E6D"/>
    <w:rsid w:val="00803771"/>
    <w:rsid w:val="00866271"/>
    <w:rsid w:val="008861BE"/>
    <w:rsid w:val="009460BE"/>
    <w:rsid w:val="009751F4"/>
    <w:rsid w:val="00995EA4"/>
    <w:rsid w:val="009B26D9"/>
    <w:rsid w:val="00A456EA"/>
    <w:rsid w:val="00A84859"/>
    <w:rsid w:val="00A8761F"/>
    <w:rsid w:val="00BA68D0"/>
    <w:rsid w:val="00D43A8F"/>
    <w:rsid w:val="00D62123"/>
    <w:rsid w:val="00DB72E9"/>
    <w:rsid w:val="00FB20BB"/>
    <w:rsid w:val="00FD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64F3B"/>
  <w15:docId w15:val="{C1199BA5-FEC2-408F-A135-D1C569C7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alloonText">
    <w:name w:val="Balloon Text"/>
    <w:basedOn w:val="Normal"/>
    <w:link w:val="BalloonTextChar"/>
    <w:rsid w:val="00495404"/>
    <w:rPr>
      <w:rFonts w:ascii="Tahoma" w:hAnsi="Tahoma" w:cs="Tahoma"/>
      <w:sz w:val="16"/>
      <w:szCs w:val="16"/>
    </w:rPr>
  </w:style>
  <w:style w:type="character" w:customStyle="1" w:styleId="BalloonTextChar">
    <w:name w:val="Balloon Text Char"/>
    <w:basedOn w:val="DefaultParagraphFont"/>
    <w:link w:val="BalloonText"/>
    <w:rsid w:val="00495404"/>
    <w:rPr>
      <w:rFonts w:ascii="Tahoma" w:hAnsi="Tahoma" w:cs="Tahoma"/>
      <w:sz w:val="16"/>
      <w:szCs w:val="16"/>
    </w:rPr>
  </w:style>
  <w:style w:type="character" w:styleId="Hyperlink">
    <w:name w:val="Hyperlink"/>
    <w:basedOn w:val="DefaultParagraphFont"/>
    <w:unhideWhenUsed/>
    <w:rsid w:val="00682847"/>
    <w:rPr>
      <w:color w:val="0000FF" w:themeColor="hyperlink"/>
      <w:u w:val="single"/>
    </w:rPr>
  </w:style>
  <w:style w:type="character" w:styleId="UnresolvedMention">
    <w:name w:val="Unresolved Mention"/>
    <w:basedOn w:val="DefaultParagraphFont"/>
    <w:uiPriority w:val="99"/>
    <w:semiHidden/>
    <w:unhideWhenUsed/>
    <w:rsid w:val="00384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3383">
      <w:bodyDiv w:val="1"/>
      <w:marLeft w:val="0"/>
      <w:marRight w:val="0"/>
      <w:marTop w:val="0"/>
      <w:marBottom w:val="0"/>
      <w:divBdr>
        <w:top w:val="none" w:sz="0" w:space="0" w:color="auto"/>
        <w:left w:val="none" w:sz="0" w:space="0" w:color="auto"/>
        <w:bottom w:val="none" w:sz="0" w:space="0" w:color="auto"/>
        <w:right w:val="none" w:sz="0" w:space="0" w:color="auto"/>
      </w:divBdr>
    </w:div>
    <w:div w:id="103646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than.Ridenhour@health.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82</Words>
  <Characters>594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Single Feasible Source Purchase</vt:lpstr>
    </vt:vector>
  </TitlesOfParts>
  <Company>State of Missouri</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Feasible Source Purchase</dc:title>
  <dc:creator>Julie Kleffner</dc:creator>
  <cp:lastModifiedBy>Ridenhour, Nathan</cp:lastModifiedBy>
  <cp:revision>5</cp:revision>
  <cp:lastPrinted>2024-10-01T18:43:00Z</cp:lastPrinted>
  <dcterms:created xsi:type="dcterms:W3CDTF">2025-03-31T13:20:00Z</dcterms:created>
  <dcterms:modified xsi:type="dcterms:W3CDTF">2025-03-31T14:26:00Z</dcterms:modified>
</cp:coreProperties>
</file>