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5" w:type="dxa"/>
        <w:tblInd w:w="-450" w:type="dxa"/>
        <w:tblLayout w:type="fixed"/>
        <w:tblLook w:val="0000" w:firstRow="0" w:lastRow="0" w:firstColumn="0" w:lastColumn="0" w:noHBand="0" w:noVBand="0"/>
      </w:tblPr>
      <w:tblGrid>
        <w:gridCol w:w="2520"/>
        <w:gridCol w:w="7455"/>
      </w:tblGrid>
      <w:tr w:rsidR="00DB72E9" w:rsidRPr="00D62123" w14:paraId="042FFC36" w14:textId="77777777" w:rsidTr="00995EA4">
        <w:tc>
          <w:tcPr>
            <w:tcW w:w="9975" w:type="dxa"/>
            <w:gridSpan w:val="2"/>
            <w:shd w:val="clear" w:color="auto" w:fill="B8CCE4" w:themeFill="accent1" w:themeFillTint="66"/>
          </w:tcPr>
          <w:p w14:paraId="356F26CB" w14:textId="77777777" w:rsidR="00DB72E9" w:rsidRPr="00D62123" w:rsidRDefault="00DB72E9" w:rsidP="00DB72E9">
            <w:pPr>
              <w:jc w:val="center"/>
              <w:rPr>
                <w:sz w:val="28"/>
              </w:rPr>
            </w:pPr>
            <w:r w:rsidRPr="00DB72E9">
              <w:rPr>
                <w:b/>
                <w:sz w:val="44"/>
              </w:rPr>
              <w:t>Single Feasible Source Purchase</w:t>
            </w:r>
          </w:p>
        </w:tc>
      </w:tr>
      <w:tr w:rsidR="00FD2F73" w:rsidRPr="00D62123" w14:paraId="43229DC3" w14:textId="77777777" w:rsidTr="00995EA4">
        <w:tc>
          <w:tcPr>
            <w:tcW w:w="9975" w:type="dxa"/>
            <w:gridSpan w:val="2"/>
          </w:tcPr>
          <w:p w14:paraId="3FEB5B84" w14:textId="77777777" w:rsidR="00FD2F73" w:rsidRPr="00D62123" w:rsidRDefault="00FD2F73">
            <w:pPr>
              <w:rPr>
                <w:sz w:val="28"/>
              </w:rPr>
            </w:pPr>
          </w:p>
        </w:tc>
      </w:tr>
      <w:tr w:rsidR="001D7B63" w:rsidRPr="00D62123" w14:paraId="3592B410" w14:textId="77777777" w:rsidTr="00866271">
        <w:tc>
          <w:tcPr>
            <w:tcW w:w="2520" w:type="dxa"/>
          </w:tcPr>
          <w:p w14:paraId="220B0E45" w14:textId="77777777" w:rsidR="001D7B63" w:rsidRPr="00866271" w:rsidRDefault="001D7B63">
            <w:pPr>
              <w:rPr>
                <w:sz w:val="28"/>
                <w:szCs w:val="28"/>
              </w:rPr>
            </w:pPr>
            <w:r w:rsidRPr="00866271">
              <w:rPr>
                <w:sz w:val="28"/>
                <w:szCs w:val="28"/>
              </w:rPr>
              <w:t>Title:</w:t>
            </w:r>
          </w:p>
        </w:tc>
        <w:tc>
          <w:tcPr>
            <w:tcW w:w="7455" w:type="dxa"/>
          </w:tcPr>
          <w:p w14:paraId="1D2F2B09" w14:textId="354E8DE7" w:rsidR="001D7B63" w:rsidRPr="00866271" w:rsidRDefault="002E5C26">
            <w:pPr>
              <w:rPr>
                <w:sz w:val="28"/>
                <w:szCs w:val="28"/>
              </w:rPr>
            </w:pPr>
            <w:r w:rsidRPr="002E5C26">
              <w:rPr>
                <w:sz w:val="28"/>
                <w:szCs w:val="28"/>
              </w:rPr>
              <w:t>Community Health Worker Training</w:t>
            </w:r>
          </w:p>
        </w:tc>
      </w:tr>
      <w:tr w:rsidR="001D7B63" w:rsidRPr="00D62123" w14:paraId="5DD252B3" w14:textId="77777777" w:rsidTr="00995EA4">
        <w:tc>
          <w:tcPr>
            <w:tcW w:w="9975" w:type="dxa"/>
            <w:gridSpan w:val="2"/>
          </w:tcPr>
          <w:p w14:paraId="5812A1B4" w14:textId="77777777" w:rsidR="001D7B63" w:rsidRPr="00866271" w:rsidRDefault="001D7B63">
            <w:pPr>
              <w:rPr>
                <w:sz w:val="28"/>
                <w:szCs w:val="28"/>
              </w:rPr>
            </w:pPr>
          </w:p>
        </w:tc>
      </w:tr>
      <w:tr w:rsidR="001D7B63" w:rsidRPr="00D62123" w14:paraId="4B6E3B72" w14:textId="77777777" w:rsidTr="00866271">
        <w:trPr>
          <w:trHeight w:val="1575"/>
        </w:trPr>
        <w:tc>
          <w:tcPr>
            <w:tcW w:w="2520" w:type="dxa"/>
          </w:tcPr>
          <w:p w14:paraId="68BB94D6" w14:textId="77777777" w:rsidR="001D7B63" w:rsidRPr="00866271" w:rsidRDefault="001D7B63">
            <w:pPr>
              <w:rPr>
                <w:sz w:val="28"/>
                <w:szCs w:val="28"/>
              </w:rPr>
            </w:pPr>
            <w:r w:rsidRPr="00866271">
              <w:rPr>
                <w:sz w:val="28"/>
                <w:szCs w:val="28"/>
              </w:rPr>
              <w:t>Description:</w:t>
            </w:r>
          </w:p>
        </w:tc>
        <w:tc>
          <w:tcPr>
            <w:tcW w:w="7455" w:type="dxa"/>
          </w:tcPr>
          <w:p w14:paraId="7F49C096" w14:textId="21298511" w:rsidR="006B4826" w:rsidRPr="00866271" w:rsidRDefault="002E5C26" w:rsidP="009751F4">
            <w:pPr>
              <w:rPr>
                <w:sz w:val="28"/>
                <w:szCs w:val="28"/>
              </w:rPr>
            </w:pPr>
            <w:r w:rsidRPr="002E5C26">
              <w:rPr>
                <w:sz w:val="28"/>
                <w:szCs w:val="28"/>
              </w:rPr>
              <w:t xml:space="preserve">The vendor is the only entity that has created the Community Health Worker Curriculum specifically for the State of Missouri based on our </w:t>
            </w:r>
            <w:r w:rsidRPr="002E5C26">
              <w:rPr>
                <w:sz w:val="28"/>
                <w:szCs w:val="28"/>
              </w:rPr>
              <w:t>state’s</w:t>
            </w:r>
            <w:r w:rsidRPr="002E5C26">
              <w:rPr>
                <w:sz w:val="28"/>
                <w:szCs w:val="28"/>
              </w:rPr>
              <w:t xml:space="preserve"> specific needs. This was created in 2014 and has been implemented and used in the state for over 10 years. The vendor is the only entity able to administer their trainings and make modifications needed to continually adapt to changing needs.</w:t>
            </w:r>
          </w:p>
        </w:tc>
      </w:tr>
      <w:tr w:rsidR="00180F47" w:rsidRPr="00D62123" w14:paraId="04470F6A" w14:textId="77777777" w:rsidTr="00995EA4">
        <w:tc>
          <w:tcPr>
            <w:tcW w:w="9975" w:type="dxa"/>
            <w:gridSpan w:val="2"/>
          </w:tcPr>
          <w:p w14:paraId="5EEB4F1E" w14:textId="77777777" w:rsidR="00180F47" w:rsidRPr="00866271" w:rsidRDefault="00180F47" w:rsidP="009751F4">
            <w:pPr>
              <w:rPr>
                <w:sz w:val="28"/>
                <w:szCs w:val="28"/>
              </w:rPr>
            </w:pPr>
          </w:p>
        </w:tc>
      </w:tr>
      <w:tr w:rsidR="00180F47" w:rsidRPr="00D62123" w14:paraId="171E783B" w14:textId="77777777" w:rsidTr="00866271">
        <w:tc>
          <w:tcPr>
            <w:tcW w:w="2520" w:type="dxa"/>
          </w:tcPr>
          <w:p w14:paraId="3526FCFF" w14:textId="77777777" w:rsidR="00180F47" w:rsidRPr="00866271" w:rsidRDefault="00180F47" w:rsidP="00803771">
            <w:pPr>
              <w:rPr>
                <w:sz w:val="28"/>
                <w:szCs w:val="28"/>
              </w:rPr>
            </w:pPr>
            <w:r w:rsidRPr="00866271">
              <w:rPr>
                <w:sz w:val="28"/>
                <w:szCs w:val="28"/>
              </w:rPr>
              <w:t>Contract Period:</w:t>
            </w:r>
          </w:p>
        </w:tc>
        <w:tc>
          <w:tcPr>
            <w:tcW w:w="7455" w:type="dxa"/>
          </w:tcPr>
          <w:p w14:paraId="33C491E9" w14:textId="39DC8C95" w:rsidR="00180F47" w:rsidRPr="00866271" w:rsidRDefault="002E5C26" w:rsidP="00803771">
            <w:pPr>
              <w:rPr>
                <w:sz w:val="28"/>
                <w:szCs w:val="28"/>
              </w:rPr>
            </w:pPr>
            <w:r>
              <w:rPr>
                <w:sz w:val="28"/>
                <w:szCs w:val="28"/>
              </w:rPr>
              <w:t>Date of Award through May 31, 2025</w:t>
            </w:r>
            <w:r w:rsidR="00A84859" w:rsidRPr="00866271">
              <w:rPr>
                <w:sz w:val="28"/>
                <w:szCs w:val="28"/>
              </w:rPr>
              <w:t xml:space="preserve"> </w:t>
            </w:r>
          </w:p>
        </w:tc>
      </w:tr>
      <w:tr w:rsidR="00180F47" w:rsidRPr="00D62123" w14:paraId="52C96D64" w14:textId="77777777" w:rsidTr="00995EA4">
        <w:tc>
          <w:tcPr>
            <w:tcW w:w="9975" w:type="dxa"/>
            <w:gridSpan w:val="2"/>
          </w:tcPr>
          <w:p w14:paraId="06F72815" w14:textId="77777777" w:rsidR="00180F47" w:rsidRPr="00866271" w:rsidRDefault="00180F47" w:rsidP="00803771">
            <w:pPr>
              <w:rPr>
                <w:sz w:val="28"/>
                <w:szCs w:val="28"/>
              </w:rPr>
            </w:pPr>
          </w:p>
        </w:tc>
      </w:tr>
      <w:tr w:rsidR="00180F47" w:rsidRPr="00D62123" w14:paraId="321D9A62" w14:textId="77777777" w:rsidTr="00866271">
        <w:tc>
          <w:tcPr>
            <w:tcW w:w="2520" w:type="dxa"/>
          </w:tcPr>
          <w:p w14:paraId="14768546" w14:textId="77777777" w:rsidR="00180F47" w:rsidRPr="00866271" w:rsidRDefault="00180F47" w:rsidP="00180F47">
            <w:pPr>
              <w:rPr>
                <w:sz w:val="28"/>
                <w:szCs w:val="28"/>
              </w:rPr>
            </w:pPr>
            <w:r w:rsidRPr="00866271">
              <w:rPr>
                <w:sz w:val="28"/>
                <w:szCs w:val="28"/>
              </w:rPr>
              <w:t>Renewal Options:</w:t>
            </w:r>
          </w:p>
        </w:tc>
        <w:tc>
          <w:tcPr>
            <w:tcW w:w="7455" w:type="dxa"/>
          </w:tcPr>
          <w:p w14:paraId="21E39025" w14:textId="57B1E156" w:rsidR="00180F47" w:rsidRPr="00866271" w:rsidRDefault="002E5C26" w:rsidP="00803771">
            <w:pPr>
              <w:rPr>
                <w:sz w:val="28"/>
                <w:szCs w:val="28"/>
              </w:rPr>
            </w:pPr>
            <w:r>
              <w:rPr>
                <w:sz w:val="28"/>
                <w:szCs w:val="28"/>
              </w:rPr>
              <w:t>Two (2) one (1) year renewals</w:t>
            </w:r>
          </w:p>
        </w:tc>
      </w:tr>
      <w:tr w:rsidR="00180F47" w:rsidRPr="00D62123" w14:paraId="21F78BA9" w14:textId="77777777" w:rsidTr="00995EA4">
        <w:tc>
          <w:tcPr>
            <w:tcW w:w="9975" w:type="dxa"/>
            <w:gridSpan w:val="2"/>
          </w:tcPr>
          <w:p w14:paraId="34B86B42" w14:textId="77777777" w:rsidR="00180F47" w:rsidRPr="00866271" w:rsidRDefault="00180F47" w:rsidP="00803771">
            <w:pPr>
              <w:rPr>
                <w:sz w:val="28"/>
                <w:szCs w:val="28"/>
              </w:rPr>
            </w:pPr>
          </w:p>
        </w:tc>
      </w:tr>
      <w:tr w:rsidR="00180F47" w:rsidRPr="00D62123" w14:paraId="0B85D541" w14:textId="77777777" w:rsidTr="00866271">
        <w:tc>
          <w:tcPr>
            <w:tcW w:w="2520" w:type="dxa"/>
          </w:tcPr>
          <w:p w14:paraId="30B58D37" w14:textId="77777777" w:rsidR="00180F47" w:rsidRPr="00866271" w:rsidRDefault="00180F47">
            <w:pPr>
              <w:rPr>
                <w:sz w:val="28"/>
                <w:szCs w:val="28"/>
              </w:rPr>
            </w:pPr>
            <w:r w:rsidRPr="00866271">
              <w:rPr>
                <w:sz w:val="28"/>
                <w:szCs w:val="28"/>
              </w:rPr>
              <w:t>Agency:</w:t>
            </w:r>
          </w:p>
        </w:tc>
        <w:tc>
          <w:tcPr>
            <w:tcW w:w="7455" w:type="dxa"/>
          </w:tcPr>
          <w:p w14:paraId="3FF74103" w14:textId="600BE5EB" w:rsidR="00180F47" w:rsidRPr="00866271" w:rsidRDefault="00A84859">
            <w:pPr>
              <w:rPr>
                <w:sz w:val="28"/>
                <w:szCs w:val="28"/>
              </w:rPr>
            </w:pPr>
            <w:r w:rsidRPr="00866271">
              <w:rPr>
                <w:sz w:val="28"/>
                <w:szCs w:val="28"/>
              </w:rPr>
              <w:t>Department of Health and Senior Services</w:t>
            </w:r>
          </w:p>
        </w:tc>
      </w:tr>
      <w:tr w:rsidR="00180F47" w:rsidRPr="00D62123" w14:paraId="0A55C4EC" w14:textId="77777777" w:rsidTr="00995EA4">
        <w:tc>
          <w:tcPr>
            <w:tcW w:w="9975" w:type="dxa"/>
            <w:gridSpan w:val="2"/>
          </w:tcPr>
          <w:p w14:paraId="2852C4D4" w14:textId="77777777" w:rsidR="00180F47" w:rsidRPr="00866271" w:rsidRDefault="00180F47" w:rsidP="009751F4">
            <w:pPr>
              <w:rPr>
                <w:sz w:val="28"/>
                <w:szCs w:val="28"/>
              </w:rPr>
            </w:pPr>
          </w:p>
        </w:tc>
      </w:tr>
      <w:tr w:rsidR="00180F47" w:rsidRPr="00D62123" w14:paraId="3FA42C2A" w14:textId="77777777" w:rsidTr="00866271">
        <w:tc>
          <w:tcPr>
            <w:tcW w:w="2520" w:type="dxa"/>
          </w:tcPr>
          <w:p w14:paraId="1770454A" w14:textId="77777777" w:rsidR="00180F47" w:rsidRPr="00866271" w:rsidRDefault="00180F47">
            <w:pPr>
              <w:rPr>
                <w:sz w:val="28"/>
                <w:szCs w:val="28"/>
              </w:rPr>
            </w:pPr>
            <w:r w:rsidRPr="00866271">
              <w:rPr>
                <w:sz w:val="28"/>
                <w:szCs w:val="28"/>
              </w:rPr>
              <w:t>Supplier:</w:t>
            </w:r>
          </w:p>
        </w:tc>
        <w:tc>
          <w:tcPr>
            <w:tcW w:w="7455" w:type="dxa"/>
          </w:tcPr>
          <w:p w14:paraId="491EDA29" w14:textId="252BD388" w:rsidR="00180F47" w:rsidRPr="00866271" w:rsidRDefault="002E5C26">
            <w:pPr>
              <w:rPr>
                <w:sz w:val="28"/>
                <w:szCs w:val="28"/>
              </w:rPr>
            </w:pPr>
            <w:r w:rsidRPr="002E5C26">
              <w:rPr>
                <w:sz w:val="28"/>
                <w:szCs w:val="28"/>
              </w:rPr>
              <w:t>Mid-America Regional Council</w:t>
            </w:r>
          </w:p>
        </w:tc>
      </w:tr>
      <w:tr w:rsidR="00180F47" w:rsidRPr="00D62123" w14:paraId="47366127" w14:textId="77777777" w:rsidTr="00995EA4">
        <w:tc>
          <w:tcPr>
            <w:tcW w:w="9975" w:type="dxa"/>
            <w:gridSpan w:val="2"/>
          </w:tcPr>
          <w:p w14:paraId="183F15DC" w14:textId="77777777" w:rsidR="00180F47" w:rsidRPr="00866271" w:rsidRDefault="00180F47" w:rsidP="009751F4">
            <w:pPr>
              <w:rPr>
                <w:sz w:val="28"/>
                <w:szCs w:val="28"/>
              </w:rPr>
            </w:pPr>
          </w:p>
        </w:tc>
      </w:tr>
      <w:tr w:rsidR="00180F47" w:rsidRPr="00D62123" w14:paraId="779131C1" w14:textId="77777777" w:rsidTr="00866271">
        <w:tc>
          <w:tcPr>
            <w:tcW w:w="2520" w:type="dxa"/>
          </w:tcPr>
          <w:p w14:paraId="0C39F2E8" w14:textId="77777777" w:rsidR="00180F47" w:rsidRPr="00866271" w:rsidRDefault="00180F47">
            <w:pPr>
              <w:rPr>
                <w:sz w:val="28"/>
                <w:szCs w:val="28"/>
              </w:rPr>
            </w:pPr>
            <w:r w:rsidRPr="00866271">
              <w:rPr>
                <w:sz w:val="28"/>
                <w:szCs w:val="28"/>
              </w:rPr>
              <w:t>Buyer:</w:t>
            </w:r>
          </w:p>
        </w:tc>
        <w:tc>
          <w:tcPr>
            <w:tcW w:w="7455" w:type="dxa"/>
          </w:tcPr>
          <w:p w14:paraId="26286AAD" w14:textId="05EE1B83" w:rsidR="00180F47" w:rsidRPr="00866271" w:rsidRDefault="002E5C26" w:rsidP="00180F47">
            <w:pPr>
              <w:rPr>
                <w:sz w:val="28"/>
                <w:szCs w:val="28"/>
              </w:rPr>
            </w:pPr>
            <w:r>
              <w:rPr>
                <w:sz w:val="28"/>
                <w:szCs w:val="28"/>
              </w:rPr>
              <w:t>Nathan Ridenhour</w:t>
            </w:r>
          </w:p>
        </w:tc>
      </w:tr>
      <w:tr w:rsidR="00180F47" w:rsidRPr="00D62123" w14:paraId="54B5FC84" w14:textId="77777777" w:rsidTr="00995EA4">
        <w:tc>
          <w:tcPr>
            <w:tcW w:w="9975" w:type="dxa"/>
            <w:gridSpan w:val="2"/>
          </w:tcPr>
          <w:p w14:paraId="182EC130" w14:textId="77777777" w:rsidR="00180F47" w:rsidRPr="00866271" w:rsidRDefault="00180F47">
            <w:pPr>
              <w:rPr>
                <w:sz w:val="28"/>
                <w:szCs w:val="28"/>
              </w:rPr>
            </w:pPr>
          </w:p>
        </w:tc>
      </w:tr>
      <w:tr w:rsidR="00180F47" w:rsidRPr="00D62123" w14:paraId="4DA18692" w14:textId="77777777" w:rsidTr="00866271">
        <w:tc>
          <w:tcPr>
            <w:tcW w:w="2520" w:type="dxa"/>
          </w:tcPr>
          <w:p w14:paraId="64A548FD" w14:textId="77777777" w:rsidR="00180F47" w:rsidRPr="00866271" w:rsidRDefault="00180F47">
            <w:pPr>
              <w:rPr>
                <w:sz w:val="28"/>
                <w:szCs w:val="28"/>
              </w:rPr>
            </w:pPr>
            <w:r w:rsidRPr="00866271">
              <w:rPr>
                <w:sz w:val="28"/>
                <w:szCs w:val="28"/>
              </w:rPr>
              <w:t>Phone No:</w:t>
            </w:r>
          </w:p>
        </w:tc>
        <w:tc>
          <w:tcPr>
            <w:tcW w:w="7455" w:type="dxa"/>
          </w:tcPr>
          <w:p w14:paraId="33EE0779" w14:textId="11EFD755" w:rsidR="00180F47" w:rsidRPr="00866271" w:rsidRDefault="002E5C26">
            <w:pPr>
              <w:rPr>
                <w:sz w:val="28"/>
                <w:szCs w:val="28"/>
              </w:rPr>
            </w:pPr>
            <w:r>
              <w:rPr>
                <w:sz w:val="28"/>
                <w:szCs w:val="28"/>
              </w:rPr>
              <w:t>573-751-6026</w:t>
            </w:r>
          </w:p>
        </w:tc>
      </w:tr>
      <w:tr w:rsidR="00180F47" w:rsidRPr="00D62123" w14:paraId="4D8CC160" w14:textId="77777777" w:rsidTr="00995EA4">
        <w:tc>
          <w:tcPr>
            <w:tcW w:w="9975" w:type="dxa"/>
            <w:gridSpan w:val="2"/>
          </w:tcPr>
          <w:p w14:paraId="48B4722B" w14:textId="77777777" w:rsidR="00180F47" w:rsidRPr="00866271" w:rsidRDefault="00180F47">
            <w:pPr>
              <w:rPr>
                <w:sz w:val="28"/>
                <w:szCs w:val="28"/>
              </w:rPr>
            </w:pPr>
          </w:p>
        </w:tc>
      </w:tr>
      <w:tr w:rsidR="00866271" w:rsidRPr="00D62123" w14:paraId="419A2985" w14:textId="77777777" w:rsidTr="00DE378A">
        <w:tc>
          <w:tcPr>
            <w:tcW w:w="2520" w:type="dxa"/>
          </w:tcPr>
          <w:p w14:paraId="2BE34CFA" w14:textId="77777777" w:rsidR="00866271" w:rsidRPr="00866271" w:rsidRDefault="00866271">
            <w:pPr>
              <w:rPr>
                <w:sz w:val="28"/>
                <w:szCs w:val="28"/>
              </w:rPr>
            </w:pPr>
            <w:r w:rsidRPr="00866271">
              <w:rPr>
                <w:sz w:val="28"/>
                <w:szCs w:val="28"/>
              </w:rPr>
              <w:t>E-Mail:</w:t>
            </w:r>
          </w:p>
        </w:tc>
        <w:tc>
          <w:tcPr>
            <w:tcW w:w="7455" w:type="dxa"/>
          </w:tcPr>
          <w:p w14:paraId="24DCB1B5" w14:textId="75719C9A" w:rsidR="00866271" w:rsidRPr="00866271" w:rsidRDefault="002E5C26">
            <w:pPr>
              <w:rPr>
                <w:sz w:val="28"/>
                <w:szCs w:val="28"/>
              </w:rPr>
            </w:pPr>
            <w:hyperlink r:id="rId4" w:history="1">
              <w:r w:rsidRPr="004C2141">
                <w:rPr>
                  <w:rStyle w:val="Hyperlink"/>
                  <w:sz w:val="28"/>
                  <w:szCs w:val="28"/>
                </w:rPr>
                <w:t>Nathan.Ridenhour@health.mo.gov</w:t>
              </w:r>
            </w:hyperlink>
            <w:r>
              <w:rPr>
                <w:sz w:val="28"/>
                <w:szCs w:val="28"/>
              </w:rPr>
              <w:t xml:space="preserve"> </w:t>
            </w:r>
          </w:p>
        </w:tc>
      </w:tr>
      <w:tr w:rsidR="00180F47" w:rsidRPr="00D62123" w14:paraId="3EC3B4A4" w14:textId="77777777" w:rsidTr="00995EA4">
        <w:tc>
          <w:tcPr>
            <w:tcW w:w="9975" w:type="dxa"/>
            <w:gridSpan w:val="2"/>
          </w:tcPr>
          <w:p w14:paraId="5237B911" w14:textId="77777777" w:rsidR="00180F47" w:rsidRPr="00866271" w:rsidRDefault="00180F47" w:rsidP="00803771">
            <w:pPr>
              <w:rPr>
                <w:sz w:val="28"/>
                <w:szCs w:val="28"/>
              </w:rPr>
            </w:pPr>
          </w:p>
        </w:tc>
      </w:tr>
      <w:tr w:rsidR="00495404" w:rsidRPr="00D62123" w14:paraId="26BFE3B5" w14:textId="77777777" w:rsidTr="00A13C2B">
        <w:tc>
          <w:tcPr>
            <w:tcW w:w="2520" w:type="dxa"/>
          </w:tcPr>
          <w:p w14:paraId="64F970A9" w14:textId="77777777" w:rsidR="00495404" w:rsidRPr="00A13C2B" w:rsidRDefault="00495404" w:rsidP="00495404">
            <w:pPr>
              <w:rPr>
                <w:sz w:val="28"/>
                <w:szCs w:val="28"/>
              </w:rPr>
            </w:pPr>
            <w:r w:rsidRPr="00A13C2B">
              <w:rPr>
                <w:sz w:val="28"/>
                <w:szCs w:val="28"/>
              </w:rPr>
              <w:t>SFS No.:</w:t>
            </w:r>
          </w:p>
        </w:tc>
        <w:tc>
          <w:tcPr>
            <w:tcW w:w="7455" w:type="dxa"/>
            <w:shd w:val="clear" w:color="auto" w:fill="auto"/>
          </w:tcPr>
          <w:p w14:paraId="513DE0BB" w14:textId="7E45A553" w:rsidR="00A13C2B" w:rsidRPr="00A13C2B" w:rsidRDefault="00A13C2B" w:rsidP="00A13C2B">
            <w:pPr>
              <w:rPr>
                <w:sz w:val="28"/>
                <w:szCs w:val="28"/>
              </w:rPr>
            </w:pPr>
            <w:r w:rsidRPr="00A13C2B">
              <w:rPr>
                <w:sz w:val="28"/>
                <w:szCs w:val="28"/>
              </w:rPr>
              <w:t>SINGLE FEASIBLE SOURCE (SFS) DHSS-FY25-002</w:t>
            </w:r>
            <w:r w:rsidR="00FE5C79">
              <w:rPr>
                <w:sz w:val="28"/>
                <w:szCs w:val="28"/>
              </w:rPr>
              <w:t>9</w:t>
            </w:r>
            <w:r w:rsidRPr="00A13C2B">
              <w:rPr>
                <w:sz w:val="28"/>
                <w:szCs w:val="28"/>
              </w:rPr>
              <w:t>-SL</w:t>
            </w:r>
          </w:p>
          <w:p w14:paraId="5063FBCE" w14:textId="0C9BD4C2" w:rsidR="00495404" w:rsidRPr="00A13C2B" w:rsidRDefault="00495404" w:rsidP="006F2E6D">
            <w:pPr>
              <w:rPr>
                <w:sz w:val="28"/>
                <w:szCs w:val="28"/>
              </w:rPr>
            </w:pPr>
          </w:p>
        </w:tc>
      </w:tr>
    </w:tbl>
    <w:p w14:paraId="2A8F5060" w14:textId="77777777" w:rsidR="001D7B63" w:rsidRPr="00D62123" w:rsidRDefault="001D7B63">
      <w:pPr>
        <w:tabs>
          <w:tab w:val="left" w:pos="2160"/>
          <w:tab w:val="left" w:pos="4860"/>
          <w:tab w:val="left" w:pos="5940"/>
        </w:tabs>
        <w:spacing w:line="360" w:lineRule="auto"/>
        <w:rPr>
          <w:color w:val="000000"/>
          <w:sz w:val="28"/>
        </w:rPr>
      </w:pPr>
    </w:p>
    <w:sectPr w:rsidR="001D7B63" w:rsidRPr="00D62123" w:rsidSect="00995EA4">
      <w:endnotePr>
        <w:numFmt w:val="decimal"/>
      </w:endnotePr>
      <w:pgSz w:w="12240" w:h="15840"/>
      <w:pgMar w:top="720" w:right="1440" w:bottom="72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31"/>
    <w:rsid w:val="0003633B"/>
    <w:rsid w:val="00180F47"/>
    <w:rsid w:val="001D7B63"/>
    <w:rsid w:val="0022407F"/>
    <w:rsid w:val="00236315"/>
    <w:rsid w:val="00266580"/>
    <w:rsid w:val="002E3CFA"/>
    <w:rsid w:val="002E5C26"/>
    <w:rsid w:val="0049408A"/>
    <w:rsid w:val="00495404"/>
    <w:rsid w:val="00582B0D"/>
    <w:rsid w:val="0059553F"/>
    <w:rsid w:val="005C3F8E"/>
    <w:rsid w:val="00631586"/>
    <w:rsid w:val="00680931"/>
    <w:rsid w:val="00682847"/>
    <w:rsid w:val="006B4826"/>
    <w:rsid w:val="006F2E6D"/>
    <w:rsid w:val="00803771"/>
    <w:rsid w:val="00866271"/>
    <w:rsid w:val="008861BE"/>
    <w:rsid w:val="00887B37"/>
    <w:rsid w:val="009460BE"/>
    <w:rsid w:val="009751F4"/>
    <w:rsid w:val="00995EA4"/>
    <w:rsid w:val="00A13C2B"/>
    <w:rsid w:val="00A456EA"/>
    <w:rsid w:val="00A84859"/>
    <w:rsid w:val="00A8761F"/>
    <w:rsid w:val="00BA68D0"/>
    <w:rsid w:val="00D43A8F"/>
    <w:rsid w:val="00D62123"/>
    <w:rsid w:val="00DB72E9"/>
    <w:rsid w:val="00FB20BB"/>
    <w:rsid w:val="00FD2F73"/>
    <w:rsid w:val="00FE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4F3B"/>
  <w15:docId w15:val="{C1199BA5-FEC2-408F-A135-D1C569C7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rsid w:val="00495404"/>
    <w:rPr>
      <w:rFonts w:ascii="Tahoma" w:hAnsi="Tahoma" w:cs="Tahoma"/>
      <w:sz w:val="16"/>
      <w:szCs w:val="16"/>
    </w:rPr>
  </w:style>
  <w:style w:type="character" w:customStyle="1" w:styleId="BalloonTextChar">
    <w:name w:val="Balloon Text Char"/>
    <w:basedOn w:val="DefaultParagraphFont"/>
    <w:link w:val="BalloonText"/>
    <w:rsid w:val="00495404"/>
    <w:rPr>
      <w:rFonts w:ascii="Tahoma" w:hAnsi="Tahoma" w:cs="Tahoma"/>
      <w:sz w:val="16"/>
      <w:szCs w:val="16"/>
    </w:rPr>
  </w:style>
  <w:style w:type="character" w:styleId="Hyperlink">
    <w:name w:val="Hyperlink"/>
    <w:basedOn w:val="DefaultParagraphFont"/>
    <w:unhideWhenUsed/>
    <w:rsid w:val="00682847"/>
    <w:rPr>
      <w:color w:val="0000FF" w:themeColor="hyperlink"/>
      <w:u w:val="single"/>
    </w:rPr>
  </w:style>
  <w:style w:type="character" w:styleId="UnresolvedMention">
    <w:name w:val="Unresolved Mention"/>
    <w:basedOn w:val="DefaultParagraphFont"/>
    <w:uiPriority w:val="99"/>
    <w:semiHidden/>
    <w:unhideWhenUsed/>
    <w:rsid w:val="002E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6941">
      <w:bodyDiv w:val="1"/>
      <w:marLeft w:val="0"/>
      <w:marRight w:val="0"/>
      <w:marTop w:val="0"/>
      <w:marBottom w:val="0"/>
      <w:divBdr>
        <w:top w:val="none" w:sz="0" w:space="0" w:color="auto"/>
        <w:left w:val="none" w:sz="0" w:space="0" w:color="auto"/>
        <w:bottom w:val="none" w:sz="0" w:space="0" w:color="auto"/>
        <w:right w:val="none" w:sz="0" w:space="0" w:color="auto"/>
      </w:divBdr>
    </w:div>
    <w:div w:id="811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han.Ridenhour@health.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118</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Single Feasible Source Purchase</vt:lpstr>
    </vt:vector>
  </TitlesOfParts>
  <Company>State of Missouri</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Feasible Source Purchase</dc:title>
  <dc:creator>Julie Kleffner</dc:creator>
  <cp:lastModifiedBy>Ridenhour, Nathan</cp:lastModifiedBy>
  <cp:revision>5</cp:revision>
  <cp:lastPrinted>2024-10-01T18:43:00Z</cp:lastPrinted>
  <dcterms:created xsi:type="dcterms:W3CDTF">2025-03-10T16:16:00Z</dcterms:created>
  <dcterms:modified xsi:type="dcterms:W3CDTF">2025-03-10T16:27:00Z</dcterms:modified>
</cp:coreProperties>
</file>